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4"/>
          <w:szCs w:val="24"/>
          <w:lang w:eastAsia="ru-RU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0"/>
          <w:szCs w:val="20"/>
          <w:lang w:eastAsia="ru-RU"/>
        </w:rPr>
      </w:pPr>
      <w:r>
        <w:rPr>
          <w:rFonts w:eastAsia="Times New Roman" w:cs="Arial" w:ascii="PT Astra Serif" w:hAnsi="PT Astra Serif"/>
          <w:sz w:val="20"/>
          <w:szCs w:val="20"/>
          <w:lang w:eastAsia="ru-RU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МУНИЦИПАЛЬНОГО ОБРАЗОВАНИЯ ПОСЕЛОК БОРОВСКИЙ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ТЮМЕНСКОГО МУНИЦИПАЛЬНОГО РАЙОНА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ТЮМЕНСКОЙ ОБЛАСТИ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  <w:t>РАСПОРЯЖЕНИЕ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widowControl/>
        <w:textAlignment w:val="auto"/>
        <w:rPr>
          <w:rFonts w:ascii="PT Astra Serif" w:hAnsi="PT Astra Serif"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>03 ноября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 2023 г. </w:t>
        <w:tab/>
        <w:tab/>
        <w:tab/>
        <w:tab/>
        <w:tab/>
        <w:tab/>
        <w:tab/>
        <w:tab/>
        <w:t xml:space="preserve">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346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Cs/>
          <w:sz w:val="24"/>
          <w:szCs w:val="24"/>
          <w:lang w:eastAsia="ru-RU"/>
        </w:rPr>
        <w:t>р.п. Боровский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/>
          <w:bCs/>
          <w:sz w:val="24"/>
          <w:szCs w:val="24"/>
          <w:lang w:eastAsia="ru-RU"/>
        </w:rPr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75B2DE6C">
                <wp:simplePos x="0" y="0"/>
                <wp:positionH relativeFrom="column">
                  <wp:posOffset>72390</wp:posOffset>
                </wp:positionH>
                <wp:positionV relativeFrom="paragraph">
                  <wp:posOffset>34290</wp:posOffset>
                </wp:positionV>
                <wp:extent cx="3433445" cy="1400810"/>
                <wp:effectExtent l="0" t="0" r="19050" b="28575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960" cy="1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rFonts w:cs="Arial" w:ascii="PT Astra Serif" w:hAnsi="PT Astra Serif"/>
                                <w:bCs/>
                                <w:iCs/>
                                <w:sz w:val="28"/>
                                <w:szCs w:val="28"/>
                              </w:rPr>
                              <w:t>утверждении Порядка планирования бюджетных ассигнований бюджета муниципального образования поселок Боровский на 2024 год и на плановый период  2025 и 2026 годов</w:t>
                            </w: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t" style="position:absolute;margin-left:5.7pt;margin-top:2.7pt;width:270.25pt;height:110.2pt;mso-wrap-style:square;v-text-anchor:top" wp14:anchorId="75B2DE6C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rFonts w:cs="Arial" w:ascii="PT Astra Serif" w:hAnsi="PT Astra Serif"/>
                          <w:bCs/>
                          <w:iCs/>
                          <w:sz w:val="28"/>
                          <w:szCs w:val="28"/>
                        </w:rPr>
                        <w:t>утверждении Порядка планирования бюджетных ассигнований бюджета муниципального образования поселок Боровский на 2024 год и на плановый период  2025 и 2026 годов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widowControl w:val="false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Web"/>
        <w:widowControl w:val="false"/>
        <w:bidi w:val="0"/>
        <w:spacing w:lineRule="auto" w:line="276" w:beforeAutospacing="1" w:afterAutospacing="1"/>
        <w:ind w:left="0" w:righ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Arial" w:ascii="PT Astra Serif" w:hAnsi="PT Astra Serif"/>
          <w:color w:val="auto"/>
          <w:kern w:val="0"/>
          <w:sz w:val="28"/>
          <w:szCs w:val="28"/>
          <w:lang w:val="ru-RU" w:eastAsia="en-US" w:bidi="ar-SA"/>
        </w:rPr>
        <w:t>В</w:t>
      </w:r>
      <w:r>
        <w:rPr>
          <w:rFonts w:cs="Arial" w:ascii="PT Astra Serif" w:hAnsi="PT Astra Serif"/>
          <w:sz w:val="28"/>
          <w:szCs w:val="28"/>
        </w:rPr>
        <w:t xml:space="preserve"> соответствии со статьей 174.2 Бюджетного Кодекса Российской Федерации, с учетом </w:t>
      </w:r>
      <w:r>
        <w:rPr>
          <w:rFonts w:cs="Arial" w:ascii="PT Astra Serif" w:hAnsi="PT Astra Serif"/>
          <w:bCs/>
          <w:color w:val="000000"/>
          <w:sz w:val="28"/>
          <w:szCs w:val="28"/>
        </w:rPr>
        <w:t xml:space="preserve">методических рекомендаций </w:t>
      </w:r>
      <w:r>
        <w:rPr>
          <w:rFonts w:cs="Arial" w:ascii="PT Astra Serif" w:hAnsi="PT Astra Serif"/>
          <w:sz w:val="28"/>
          <w:szCs w:val="28"/>
        </w:rPr>
        <w:t xml:space="preserve">Департамента Финансов Тюменской области </w:t>
      </w:r>
      <w:r>
        <w:rPr>
          <w:rFonts w:cs="Arial" w:ascii="PT Astra Serif" w:hAnsi="PT Astra Serif"/>
          <w:bCs/>
          <w:color w:val="000000"/>
          <w:sz w:val="28"/>
          <w:szCs w:val="28"/>
        </w:rPr>
        <w:t>по формированию местных бюджетов на 2024 год и на плановый период 2025-2026 годов</w:t>
      </w:r>
      <w:r>
        <w:rPr>
          <w:rFonts w:cs="Arial" w:ascii="PT Astra Serif" w:hAnsi="PT Astra Serif"/>
          <w:sz w:val="28"/>
          <w:szCs w:val="28"/>
        </w:rPr>
        <w:t>: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1. </w:t>
      </w:r>
      <w:r>
        <w:rPr>
          <w:rFonts w:cs="Arial" w:ascii="PT Astra Serif" w:hAnsi="PT Astra Serif"/>
          <w:bCs/>
          <w:iCs/>
          <w:sz w:val="28"/>
          <w:szCs w:val="28"/>
        </w:rPr>
        <w:t>Утвердить Порядок планирования бюджетных ассигнований бюджета муниципального образования поселок Боровский на 202</w:t>
      </w:r>
      <w:r>
        <w:rPr>
          <w:rFonts w:eastAsia="Calibri" w:cs="Arial" w:ascii="PT Astra Serif" w:hAnsi="PT Astra Serif"/>
          <w:bCs/>
          <w:iCs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Arial" w:ascii="PT Astra Serif" w:hAnsi="PT Astra Serif"/>
          <w:bCs/>
          <w:iCs/>
          <w:sz w:val="28"/>
          <w:szCs w:val="28"/>
        </w:rPr>
        <w:t xml:space="preserve"> год и на плановый период 202</w:t>
      </w:r>
      <w:r>
        <w:rPr>
          <w:rFonts w:eastAsia="Calibri" w:cs="Arial" w:ascii="PT Astra Serif" w:hAnsi="PT Astra Serif"/>
          <w:bCs/>
          <w:iCs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Arial" w:ascii="PT Astra Serif" w:hAnsi="PT Astra Serif"/>
          <w:bCs/>
          <w:iCs/>
          <w:sz w:val="28"/>
          <w:szCs w:val="28"/>
        </w:rPr>
        <w:t xml:space="preserve"> и 202</w:t>
      </w:r>
      <w:r>
        <w:rPr>
          <w:rFonts w:eastAsia="Calibri" w:cs="Arial" w:ascii="PT Astra Serif" w:hAnsi="PT Astra Serif"/>
          <w:bCs/>
          <w:iCs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cs="Arial" w:ascii="PT Astra Serif" w:hAnsi="PT Astra Serif"/>
          <w:bCs/>
          <w:iCs/>
          <w:sz w:val="28"/>
          <w:szCs w:val="28"/>
        </w:rPr>
        <w:t xml:space="preserve"> годов</w:t>
      </w: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bCs/>
          <w:iCs/>
          <w:sz w:val="28"/>
          <w:szCs w:val="28"/>
        </w:rPr>
        <w:t>согласно приложению 1.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Cs/>
          <w:iCs/>
          <w:sz w:val="28"/>
          <w:szCs w:val="28"/>
        </w:rPr>
        <w:t>2. Контроль за исполнением настоящего распоряжения возложить на заместителя главы сельского поселения О.В.Суппес.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Arial"/>
          <w:bCs/>
          <w:iCs/>
          <w:sz w:val="28"/>
          <w:szCs w:val="28"/>
        </w:rPr>
      </w:pPr>
      <w:r>
        <w:rPr>
          <w:rFonts w:cs="Arial" w:ascii="PT Astra Serif" w:hAnsi="PT Astra Serif"/>
          <w:bCs/>
          <w:iCs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Arial"/>
          <w:bCs/>
          <w:iCs/>
          <w:sz w:val="28"/>
          <w:szCs w:val="28"/>
        </w:rPr>
      </w:pPr>
      <w:r>
        <w:rPr>
          <w:rFonts w:cs="Arial" w:ascii="PT Astra Serif" w:hAnsi="PT Astra Serif"/>
          <w:bCs/>
          <w:iCs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Cs/>
          <w:iCs/>
          <w:sz w:val="28"/>
          <w:szCs w:val="28"/>
        </w:rPr>
        <w:t>Глава муниципального образования                                                 С.В. Сычева</w:t>
      </w:r>
    </w:p>
    <w:p>
      <w:pPr>
        <w:pStyle w:val="Normal"/>
        <w:bidi w:val="0"/>
        <w:ind w:left="0" w:right="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jc w:val="both"/>
        <w:textAlignment w:val="auto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</w:r>
    </w:p>
    <w:p>
      <w:pPr>
        <w:pStyle w:val="Normal"/>
        <w:widowControl/>
        <w:jc w:val="both"/>
        <w:textAlignment w:val="auto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right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jc w:val="right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 1</w:t>
      </w:r>
    </w:p>
    <w:p>
      <w:pPr>
        <w:pStyle w:val="Normal"/>
        <w:bidi w:val="0"/>
        <w:ind w:left="0" w:righ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 распоряжению администрации</w:t>
      </w:r>
    </w:p>
    <w:p>
      <w:pPr>
        <w:pStyle w:val="Normal"/>
        <w:bidi w:val="0"/>
        <w:ind w:left="0" w:righ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bidi w:val="0"/>
        <w:ind w:left="0" w:righ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поселок Боровский</w:t>
      </w:r>
    </w:p>
    <w:p>
      <w:pPr>
        <w:pStyle w:val="Normal"/>
        <w:bidi w:val="0"/>
        <w:ind w:left="0" w:righ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от  </w:t>
      </w:r>
      <w:r>
        <w:rPr>
          <w:rFonts w:cs="Arial" w:ascii="PT Astra Serif" w:hAnsi="PT Astra Serif"/>
          <w:sz w:val="28"/>
          <w:szCs w:val="28"/>
        </w:rPr>
        <w:t>03.11.</w:t>
      </w:r>
      <w:r>
        <w:rPr>
          <w:rFonts w:cs="Arial" w:ascii="PT Astra Serif" w:hAnsi="PT Astra Serif"/>
          <w:sz w:val="28"/>
          <w:szCs w:val="28"/>
        </w:rPr>
        <w:t>2023 №</w:t>
      </w:r>
      <w:r>
        <w:rPr>
          <w:rFonts w:cs="Arial" w:ascii="PT Astra Serif" w:hAnsi="PT Astra Serif"/>
          <w:sz w:val="28"/>
          <w:szCs w:val="28"/>
        </w:rPr>
        <w:t>346</w:t>
      </w:r>
    </w:p>
    <w:p>
      <w:pPr>
        <w:pStyle w:val="Normal"/>
        <w:bidi w:val="0"/>
        <w:ind w:left="0" w:righ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Порядок планирования бюджетных ассигнований </w:t>
      </w:r>
    </w:p>
    <w:p>
      <w:pPr>
        <w:pStyle w:val="Normal"/>
        <w:bidi w:val="0"/>
        <w:ind w:left="0" w:right="0"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iCs/>
          <w:sz w:val="28"/>
          <w:szCs w:val="28"/>
        </w:rPr>
        <w:t>бюджета муниципального образования поселок Боровский на 202</w:t>
      </w:r>
      <w:r>
        <w:rPr>
          <w:rFonts w:eastAsia="Calibri" w:cs="Arial" w:ascii="PT Astra Serif" w:hAnsi="PT Astra Serif"/>
          <w:b/>
          <w:bCs/>
          <w:iCs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Arial" w:ascii="PT Astra Serif" w:hAnsi="PT Astra Serif"/>
          <w:b/>
          <w:bCs/>
          <w:iCs/>
          <w:sz w:val="28"/>
          <w:szCs w:val="28"/>
        </w:rPr>
        <w:t xml:space="preserve"> год и на плановый период 202</w:t>
      </w:r>
      <w:r>
        <w:rPr>
          <w:rFonts w:eastAsia="Calibri" w:cs="Arial" w:ascii="PT Astra Serif" w:hAnsi="PT Astra Serif"/>
          <w:b/>
          <w:bCs/>
          <w:iCs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Arial" w:ascii="PT Astra Serif" w:hAnsi="PT Astra Serif"/>
          <w:b/>
          <w:bCs/>
          <w:iCs/>
          <w:sz w:val="28"/>
          <w:szCs w:val="28"/>
        </w:rPr>
        <w:t xml:space="preserve"> и 202</w:t>
      </w:r>
      <w:r>
        <w:rPr>
          <w:rFonts w:eastAsia="Calibri" w:cs="Arial" w:ascii="PT Astra Serif" w:hAnsi="PT Astra Serif"/>
          <w:b/>
          <w:bCs/>
          <w:iCs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cs="Arial" w:ascii="PT Astra Serif" w:hAnsi="PT Astra Serif"/>
          <w:b/>
          <w:bCs/>
          <w:iCs/>
          <w:sz w:val="28"/>
          <w:szCs w:val="28"/>
        </w:rPr>
        <w:t xml:space="preserve"> годов</w:t>
      </w:r>
    </w:p>
    <w:p>
      <w:pPr>
        <w:pStyle w:val="Normal"/>
        <w:bidi w:val="0"/>
        <w:ind w:left="0" w:right="0" w:firstLine="540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bidi w:val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Настоящий Порядок планирования бюджетных ассигнований </w:t>
      </w:r>
      <w:r>
        <w:rPr>
          <w:rFonts w:cs="Arial" w:ascii="PT Astra Serif" w:hAnsi="PT Astra Serif"/>
          <w:bCs/>
          <w:iCs/>
          <w:sz w:val="28"/>
          <w:szCs w:val="28"/>
        </w:rPr>
        <w:t>бюджета муниципального образования поселок Боровский на 202</w:t>
      </w:r>
      <w:r>
        <w:rPr>
          <w:rFonts w:eastAsia="Calibri" w:cs="Arial" w:ascii="PT Astra Serif" w:hAnsi="PT Astra Serif"/>
          <w:bCs/>
          <w:iCs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Arial" w:ascii="PT Astra Serif" w:hAnsi="PT Astra Serif"/>
          <w:bCs/>
          <w:iCs/>
          <w:sz w:val="28"/>
          <w:szCs w:val="28"/>
        </w:rPr>
        <w:t xml:space="preserve"> год и на плановый период 202</w:t>
      </w:r>
      <w:r>
        <w:rPr>
          <w:rFonts w:eastAsia="Calibri" w:cs="Arial" w:ascii="PT Astra Serif" w:hAnsi="PT Astra Serif"/>
          <w:bCs/>
          <w:iCs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Arial" w:ascii="PT Astra Serif" w:hAnsi="PT Astra Serif"/>
          <w:bCs/>
          <w:iCs/>
          <w:sz w:val="28"/>
          <w:szCs w:val="28"/>
        </w:rPr>
        <w:t xml:space="preserve"> и 202</w:t>
      </w:r>
      <w:r>
        <w:rPr>
          <w:rFonts w:eastAsia="Calibri" w:cs="Arial" w:ascii="PT Astra Serif" w:hAnsi="PT Astra Serif"/>
          <w:bCs/>
          <w:iCs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cs="Arial" w:ascii="PT Astra Serif" w:hAnsi="PT Astra Serif"/>
          <w:bCs/>
          <w:iCs/>
          <w:sz w:val="28"/>
          <w:szCs w:val="28"/>
        </w:rPr>
        <w:t xml:space="preserve"> годов</w:t>
      </w:r>
      <w:r>
        <w:rPr>
          <w:rFonts w:cs="Arial" w:ascii="PT Astra Serif" w:hAnsi="PT Astra Serif"/>
          <w:sz w:val="28"/>
          <w:szCs w:val="28"/>
        </w:rPr>
        <w:t xml:space="preserve"> (далее - Порядок) разработан в соответствии со  статьей 174.2 Бюджетного кодекса Российской Федерации и определяет порядок и методику планирования бюджетных ассигнований бюджета </w:t>
      </w:r>
      <w:r>
        <w:rPr>
          <w:rFonts w:cs="Arial" w:ascii="PT Astra Serif" w:hAnsi="PT Astra Serif"/>
          <w:bCs/>
          <w:iCs/>
          <w:sz w:val="28"/>
          <w:szCs w:val="28"/>
        </w:rPr>
        <w:t xml:space="preserve">муниципального образования </w:t>
      </w:r>
      <w:r>
        <w:rPr>
          <w:rFonts w:cs="Arial" w:ascii="PT Astra Serif" w:hAnsi="PT Astra Serif"/>
          <w:sz w:val="28"/>
          <w:szCs w:val="28"/>
        </w:rPr>
        <w:t>(далее - бюджетные ассигнования) на 202</w:t>
      </w:r>
      <w:r>
        <w:rPr>
          <w:rFonts w:eastAsia="Calibri" w:cs="Arial" w:ascii="PT Astra Serif" w:hAnsi="PT Astra Serif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Arial"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eastAsia="Calibri" w:cs="Arial" w:ascii="PT Astra Serif" w:hAnsi="PT Astra Serif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Arial" w:ascii="PT Astra Serif" w:hAnsi="PT Astra Serif"/>
          <w:sz w:val="28"/>
          <w:szCs w:val="28"/>
        </w:rPr>
        <w:t xml:space="preserve"> и 202</w:t>
      </w:r>
      <w:r>
        <w:rPr>
          <w:rFonts w:eastAsia="Calibri" w:cs="Arial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6 </w:t>
      </w:r>
      <w:r>
        <w:rPr>
          <w:rFonts w:cs="Arial" w:ascii="PT Astra Serif" w:hAnsi="PT Astra Serif"/>
          <w:sz w:val="28"/>
          <w:szCs w:val="28"/>
        </w:rPr>
        <w:t>годов.</w:t>
      </w:r>
    </w:p>
    <w:p>
      <w:pPr>
        <w:pStyle w:val="Normal"/>
        <w:spacing w:before="0" w:after="0"/>
        <w:ind w:left="0" w:right="0" w:hanging="0"/>
        <w:jc w:val="center"/>
        <w:rPr>
          <w:rFonts w:eastAsia="Times New Roman" w:cs="Times New Roman"/>
          <w:b/>
          <w:b/>
          <w:color w:val="000000"/>
          <w:shd w:fill="auto" w:val="clear"/>
        </w:rPr>
      </w:pPr>
      <w:r>
        <w:rPr>
          <w:rFonts w:eastAsia="Times New Roman" w:cs="Times New Roman"/>
          <w:b/>
          <w:color w:val="000000"/>
          <w:shd w:fill="auto" w:val="clear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/>
          <w:color w:val="000000"/>
          <w:sz w:val="28"/>
          <w:szCs w:val="28"/>
          <w:shd w:fill="auto" w:val="clear"/>
        </w:rPr>
        <w:t xml:space="preserve">Методика </w:t>
      </w:r>
      <w:r>
        <w:rPr>
          <w:rFonts w:cs="Times New Roman" w:ascii="PT Astra Serif" w:hAnsi="PT Astra Serif"/>
          <w:b/>
          <w:color w:val="000000"/>
          <w:sz w:val="28"/>
          <w:szCs w:val="28"/>
          <w:shd w:fill="auto" w:val="clear"/>
        </w:rPr>
        <w:t>планирования бюджетных ассигнований</w:t>
      </w:r>
      <w:r>
        <w:rPr>
          <w:rFonts w:eastAsia="Times New Roman" w:cs="Times New Roman" w:ascii="PT Astra Serif" w:hAnsi="PT Astra Serif"/>
          <w:b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>
          <w:rFonts w:ascii="PT Astra Serif" w:hAnsi="PT Astra Serif" w:eastAsia="Times New Roman"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b/>
          <w:color w:val="000000"/>
          <w:sz w:val="28"/>
          <w:szCs w:val="28"/>
          <w:shd w:fill="auto" w:val="clear"/>
        </w:rPr>
        <w:t xml:space="preserve">на исполнение вопросов местного значения </w:t>
      </w:r>
    </w:p>
    <w:p>
      <w:pPr>
        <w:pStyle w:val="Normal"/>
        <w:spacing w:before="0" w:after="0"/>
        <w:ind w:left="0" w:right="0" w:hanging="0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b/>
          <w:color w:val="000000"/>
          <w:sz w:val="28"/>
          <w:szCs w:val="28"/>
          <w:shd w:fill="auto" w:val="clear"/>
        </w:rPr>
        <w:t>на 2024 год и плановый период 2025-2026 годов</w:t>
      </w:r>
    </w:p>
    <w:p>
      <w:pPr>
        <w:pStyle w:val="Normal"/>
        <w:spacing w:before="0" w:after="0"/>
        <w:ind w:left="0" w:right="0" w:hanging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>1. Расходы на исполнение полномочия по осуществлению дорожной деятельности в отношении автомобильных дорог местного значения</w:t>
      </w:r>
    </w:p>
    <w:p>
      <w:pPr>
        <w:pStyle w:val="Style18"/>
        <w:tabs>
          <w:tab w:val="clear" w:pos="709"/>
        </w:tabs>
        <w:bidi w:val="0"/>
        <w:spacing w:lineRule="auto" w:line="288" w:before="0" w:after="0"/>
        <w:ind w:left="0" w:right="0" w:firstLine="709"/>
        <w:jc w:val="both"/>
        <w:rPr>
          <w:rFonts w:ascii="PT Astra Serif" w:hAnsi="PT Astra Serif"/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  <w:t>Объем расходов на содержание автомобильных дорог местного значения, включенных в Перечни автомобильных дорог местного значения на 2024 год планируется в сумме, учтенной на 2023 год при формировании бюджета на 2023-2025гг с учетом изменения протяженности дорог на 01.05.2023 года с применением коэффициента 1,067.</w:t>
      </w:r>
    </w:p>
    <w:p>
      <w:pPr>
        <w:pStyle w:val="Style18"/>
        <w:tabs>
          <w:tab w:val="clear" w:pos="709"/>
        </w:tabs>
        <w:bidi w:val="0"/>
        <w:spacing w:lineRule="auto" w:line="288" w:before="0" w:after="0"/>
        <w:ind w:left="0" w:right="0" w:firstLine="709"/>
        <w:jc w:val="both"/>
        <w:rPr>
          <w:rFonts w:ascii="PT Astra Serif" w:hAnsi="PT Astra Serif"/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  <w:t xml:space="preserve">Объем расходов на содержание автомобильных дорог местного значения, на 2025 год и на 2026 год планируется в сумме, учтенной на 2025 год при формировании бюджета на 2023-2025гг </w:t>
      </w:r>
    </w:p>
    <w:p>
      <w:pPr>
        <w:pStyle w:val="Style18"/>
        <w:tabs>
          <w:tab w:val="clear" w:pos="709"/>
        </w:tabs>
        <w:bidi w:val="0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 xml:space="preserve">2. Расходы на исполнение полномочий по предупреждению и ликвидации последствий чрезвычайных ситуаций (создание резервного фонда местной администрации). 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Объем расходов муниципального образования на очередной финансовый год и плановый период на исполнение полномочия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  <w:t xml:space="preserve">по предупреждению и ликвидации последствий чрезвычайных ситуаций (создание резервного фонда местной администрации)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осуществляется по формуле: 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Ррф = Ч * Nрф,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Ррф – объём расходов на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  <w:t>предупреждение и ликвидацию последствий чрезвычайных ситуаций (создание резервного фонда местной администрации)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Ч – численность населения в муниципальном образовании на начало текущего года (по данным Территориального органа Федеральной службы государственной статистики по Тюменской области);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Nрф – норматив расходов на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  <w:t>предупреждение и ликвидацию последствий чрезвычайных ситуаций (создание резервного фонда местной администрации)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на 1-го жителя сельского поселения.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Style18"/>
        <w:spacing w:lineRule="auto" w:line="288" w:before="0" w:after="0"/>
        <w:ind w:left="0" w:right="0" w:hanging="0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</w:rPr>
        <w:t xml:space="preserve">    </w:t>
      </w: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</w:rPr>
        <w:t>3. Расходы на исполнение полномочия по обеспечению первичных мер пожарной безопасности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</w:rPr>
        <w:t>3.1.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Объем расходов муниципального образования на очередной финансовый год и плановый период на исполнение полномочия по обеспечению первичных мер пожарной безопасности осуществляется по формуле: 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 = Ч * (Nдпо + Nпр),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 – объём расходов на обеспечение первичных мер пожарной безопасности;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Ч – численность населения в муниципальном образовании на начало текущего года (по данным Территориального органа Федеральной службы государственной статистики по Тюменской области);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Nдпо – норматив расходов для организации добровольной пожарной охраны (материальное стимулирование и содержание ДПО) из расчета 32,9 руб. на 1-го жителя сельского поселения;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Nпр – норматив расходов для обеспечения прочих первичных мер пожарной безопасности из расчета 85,9 руб. на 1-го жителя сельского поселения;.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В составе норматива расходов на 1 жителя для обеспечения прочих первичных мер пожарной без опасности учтены расходы на: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- содержание подъездных путей к пожарным пирсам и источникам пожарного водоснабжения;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- содержание источников пожарного водоснабжения;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- прочие первичные меры пожарной безопасности.</w:t>
      </w:r>
    </w:p>
    <w:p>
      <w:pPr>
        <w:pStyle w:val="Style18"/>
        <w:tabs>
          <w:tab w:val="clear" w:pos="709"/>
        </w:tabs>
        <w:bidi w:val="0"/>
        <w:spacing w:lineRule="auto" w:line="276" w:before="0" w:after="0"/>
        <w:ind w:left="0" w:right="0" w:hanging="0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  <w:lang w:val="ru-RU"/>
        </w:rPr>
        <w:t xml:space="preserve">      </w:t>
      </w: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  <w:lang w:val="ru-RU"/>
        </w:rPr>
        <w:t>3.2. О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  <w:lang w:val="ru-RU"/>
        </w:rPr>
        <w:t>бъем расходов муниципального образования на очередной финансовый год и плановый период  на устройство противопожарных минерализованных полос вокруг населенных пунктов (Рмп) определяется по формуле:</w:t>
      </w:r>
    </w:p>
    <w:p>
      <w:pPr>
        <w:pStyle w:val="Style18"/>
        <w:tabs>
          <w:tab w:val="clear" w:pos="709"/>
        </w:tabs>
        <w:bidi w:val="0"/>
        <w:spacing w:lineRule="auto" w:line="276" w:before="0" w:after="0"/>
        <w:ind w:left="0" w:right="0" w:firstLine="567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  <w:lang w:val="ru-RU"/>
        </w:rPr>
        <w:t>Рмп=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  <w:lang w:val="en-US"/>
        </w:rPr>
        <w:t>S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  <w:lang w:val="ru-RU"/>
        </w:rPr>
        <w:t>нп*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  <w:lang w:val="en-US"/>
        </w:rPr>
        <w:t xml:space="preserve">N,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  <w:lang w:val="ru-RU"/>
        </w:rPr>
        <w:t>где</w:t>
      </w:r>
    </w:p>
    <w:p>
      <w:pPr>
        <w:pStyle w:val="Style18"/>
        <w:tabs>
          <w:tab w:val="clear" w:pos="709"/>
        </w:tabs>
        <w:bidi w:val="0"/>
        <w:spacing w:lineRule="auto" w:line="276" w:before="0" w:after="0"/>
        <w:ind w:left="0" w:right="0" w:firstLine="567"/>
        <w:jc w:val="both"/>
        <w:rPr>
          <w:rFonts w:ascii="PT Astra Serif" w:hAnsi="PT Astra Serif"/>
          <w:color w:val="000000"/>
          <w:sz w:val="28"/>
          <w:szCs w:val="28"/>
          <w:shd w:fill="auto" w:val="clear"/>
          <w:lang w:val="en-US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  <w:lang w:val="en-US"/>
        </w:rPr>
        <w:t>S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  <w:lang w:val="ru-RU"/>
        </w:rPr>
        <w:t>нп — протяженность границ населенных пунктов муниципального образования вокруг которых необходимо выполнить работы по устройству противопожарных минерализованных полос в километрах;</w:t>
      </w:r>
    </w:p>
    <w:p>
      <w:pPr>
        <w:pStyle w:val="Style18"/>
        <w:tabs>
          <w:tab w:val="clear" w:pos="709"/>
        </w:tabs>
        <w:bidi w:val="0"/>
        <w:spacing w:lineRule="auto" w:line="276" w:before="0" w:after="0"/>
        <w:ind w:left="0" w:right="0" w:firstLine="567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  <w:lang w:val="en-US"/>
        </w:rPr>
        <w:t xml:space="preserve">N – 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  <w:lang w:val="ru-RU"/>
        </w:rPr>
        <w:t>норматив расходов на устройство противопожарных минерализованных полос, из расчета 4,9937 тыс. рублей за полосу шириной 10 метров и длиной 1 километр.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>4. Расходы на исполнение полномочия по опубликованию муниципальных правовых актов, иной официальной информации в печатном СМИ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Расходы на исполнение полномочия муниципальным образованием по опубликованию муниципальных правовых актов, иной официальной информации в печатном СМИ определяются по формуле: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Р = №-в * 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en-US"/>
        </w:rPr>
        <w:t>S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* В * К * К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д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 – объем расходов;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№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-в – норматив на 1см2 газеты;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en-US"/>
        </w:rPr>
        <w:t>S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= 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/>
        </w:rPr>
        <w:t>988 см2 – печатная площадь полосы под опубликование официальной информации (26*38 см)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В – количество выпусков в год;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К – территориальный корректирующий коэффициент;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К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д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поправочный коэффициент.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При определении методики формирования расходов бюджетов для поселений учтено, что официальная информация органов местного самоуправления в целях экономии бюджетных средств будет публиковаться во вкладке (приложении) в районную газету, выпускаемую тиражом, заказанным поселением.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>5. Расходы на исполнение полномочий по благоустройству населенных пунктов включают в себя: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организацию благоустройства территории поселения</w:t>
      </w:r>
      <w:r>
        <w:rPr>
          <w:rFonts w:eastAsia="Times New Roman" w:cs="Times New Roman" w:ascii="PT Astra Serif" w:hAnsi="PT Astra Serif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sz w:val="28"/>
          <w:szCs w:val="28"/>
          <w:shd w:fill="auto" w:val="clear"/>
        </w:rPr>
        <w:t xml:space="preserve">создание условий для массового отдыха жителей поселения и организация обустройства мест массового отдыха населения;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содержание мест захоронения,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содержание мест (площадок) накопления твердых коммунальных отходов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.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</w:rPr>
        <w:t xml:space="preserve">Общий объем расходов на исполнение полномочий на 2024 — 2026 годы </w:t>
      </w: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(за исключением полномочия по </w:t>
      </w: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содержанию мест (площадок) накопления твердых коммунальных отходов)</w:t>
      </w: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</w:rPr>
        <w:t xml:space="preserve"> определяется: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</w:t>
      </w: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- в части электрического освещения и технического обслуживания электрических сетей: </w:t>
      </w: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с применением в 2024 году к прогнозному объему расходов, рассчитанному при формировании бюджета на 2023 и на плановый период 2024 и 2025 годов, индекса роста коммунальных услуг 1,067, 2025 — 2026 годы — на уровне 2024года;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shd w:fill="auto" w:val="clear"/>
        </w:rPr>
      </w:pPr>
      <w:r>
        <w:rPr>
          <w:rFonts w:cs="Arial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- в части мероприятий по содержанию объектов благоустройства (кроме  - электрического освещения и технического обслуживания электрических сетей), исходя из прогнозного объема расходов на 2023 год, рассчитанного при формировании бюджета на 2023 год и на плановый период 2024 и 2025 годов,  с учетом индекса роста потребительских цен 1,04, </w:t>
      </w:r>
      <w:r>
        <w:rPr>
          <w:rFonts w:cs="Arial" w:ascii="PT Astra Serif" w:hAnsi="PT Astra Serif"/>
          <w:b w:val="false"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на 2025-2026 годы -  на уровне 2024 года.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cs="Arial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Объем расходов на</w:t>
      </w: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 </w:t>
      </w: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содержание мест (площадок) накопления твердых коммунальных отходов </w:t>
      </w:r>
      <w:r>
        <w:rPr>
          <w:rFonts w:cs="Arial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определяется по формуле:</w:t>
      </w:r>
    </w:p>
    <w:p>
      <w:pPr>
        <w:pStyle w:val="Style27"/>
        <w:spacing w:lineRule="auto" w:line="240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cs="Arial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Р = Н × К, где: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PT Astra Serif" w:hAnsi="PT Astra Serif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</w:pPr>
      <w:r>
        <w:rPr>
          <w:rFonts w:cs="Arial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Р – объем расходов;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cs="Arial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Н– норматив на содержание 1 контейнерной площадки в год  (2023 год — 16,93 тыс. рублей  с применением в 2024 году индекса 1,04); 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PT Astra Serif" w:hAnsi="PT Astra Serif"/>
          <w:strike w:val="false"/>
          <w:dstrike w:val="false"/>
          <w:color w:val="000000"/>
          <w:sz w:val="28"/>
          <w:szCs w:val="28"/>
          <w:u w:val="none"/>
          <w:shd w:fill="auto" w:val="clear"/>
        </w:rPr>
      </w:pPr>
      <w:r>
        <w:rPr>
          <w:rFonts w:eastAsia="Arial" w:cs="Arial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К – количество контейнерных площадок (по данным Департамента недропользования и экологии Тюменской области).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PT Astra Serif" w:hAnsi="PT Astra Serif" w:eastAsia="Arial" w:cs="Arial"/>
          <w:b w:val="false"/>
          <w:b w:val="false"/>
          <w:bCs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</w:pPr>
      <w:r>
        <w:rPr>
          <w:rFonts w:eastAsia="Arial" w:cs="Arial" w:ascii="PT Astra Serif" w:hAnsi="PT Astra Serif"/>
          <w:b w:val="false"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Расходы на 2025-2026 годы -  на уровне 2024 года.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PT Astra Serif" w:hAnsi="PT Astra Serif" w:eastAsia="Arial" w:cs="Arial"/>
          <w:b w:val="false"/>
          <w:b w:val="false"/>
          <w:bCs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</w:pPr>
      <w:r>
        <w:rPr>
          <w:rFonts w:eastAsia="Arial" w:cs="Arial" w:ascii="PT Astra Serif" w:hAnsi="PT Astra Serif"/>
          <w:b w:val="false"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shd w:fill="auto" w:val="clear"/>
        </w:rPr>
        <w:t>6. Расходы на исполнение полномочия по обеспечению безопасности людей на водных объектах, охране их жизни и здоровья.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Планирование расходов бюджета на исполнение полномочия по обеспечению безопасности людей на водных объектах, охране их жизни и здоровья осуществляется при наличии водных объектов по формуле: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Р =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lang w:val="en-US"/>
        </w:rPr>
        <w:t>N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* Ч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vertAlign w:val="subscript"/>
        </w:rPr>
        <w:t>нас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*  К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vertAlign w:val="subscript"/>
        </w:rPr>
        <w:t>р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, где: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Р – объем расходов на очередной финансовый год;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lang w:val="en-US"/>
        </w:rPr>
        <w:t>N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– норматив расходов на одного жителя;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Ч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vertAlign w:val="subscript"/>
        </w:rPr>
        <w:t>нас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– численность населения в муниципальном образовании на начало текущего года (по данным Территориального органа Федеральной службы государственной статистики по Тюменской области);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К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vertAlign w:val="subscript"/>
        </w:rPr>
        <w:t>р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– коэффициент для районного муниципального образования.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shd w:fill="auto" w:val="clear"/>
        </w:rPr>
        <w:t xml:space="preserve">7. Расходы на исполнение полномочия по организации и осуществлению мероприятий по работе с детьми и молодежью. 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Планирование расходов по полномочию на организацию и осуществление мероприятий по работе с детьми и молодежью определяется исходя из базового норматива финансовых затрат на одного жителя из числа молодежного населения, в возрасте от 14 до 35 лет с использованием индекса-дефлятора на соответствующий период по следующей формуле: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vertAlign w:val="subscript"/>
        </w:rPr>
        <w:t>ргп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=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lang w:val="en-US"/>
        </w:rPr>
        <w:t>N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vertAlign w:val="subscript"/>
        </w:rPr>
        <w:t>н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* Ч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vertAlign w:val="subscript"/>
        </w:rPr>
        <w:t>м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* К, где: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lang w:val="en-US"/>
        </w:rPr>
        <w:t>N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vertAlign w:val="subscript"/>
        </w:rPr>
        <w:t>н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– норматив затрат на одного жителя из числа молодежного населения в возрасте от 14 до 35 лет;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Ч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vertAlign w:val="subscript"/>
        </w:rPr>
        <w:t>м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– численность молодежного населения территории от 14 до 35 лет;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К – поправочный коэффициент.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shd w:fill="auto" w:val="clear"/>
        </w:rPr>
        <w:t>8. Расходы на исполнение полномочия по оказанию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Объем расходов на исполнение полномочия рассчитывается по формуле: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Р = №-в * Ч * К*Кк, где: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Р – объем расходов;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№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-в – норматив расходов на одного жителя в год;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Ч – численность населения муниципального образования на начало текущего года (по данным Территориального органа Федеральной службы государственной статистики по Тюменской области);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>К – поправочный коэффициент;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Кк — корректирующий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</w:rPr>
        <w:t xml:space="preserve"> коэффициент.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>9. Расходы на исполнение полномочия по содержанию органов местного самоуправления.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Годовые расходы на содержание аппарата управления муниципального образования определяются: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АУП (м.о.)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</w:rPr>
        <w:t xml:space="preserve"> = 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 xml:space="preserve">зп 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+ 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ку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+ 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мз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</w:rPr>
        <w:t>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АУП(м.о.)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</w:rPr>
        <w:t xml:space="preserve">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sz w:val="28"/>
          <w:szCs w:val="28"/>
          <w:shd w:fill="auto" w:val="clear"/>
        </w:rPr>
        <w:t>–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</w:rPr>
        <w:t xml:space="preserve">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sz w:val="28"/>
          <w:szCs w:val="28"/>
          <w:shd w:fill="auto" w:val="clear"/>
        </w:rPr>
        <w:t>годовые расходы на содержание аппарата управления муниципального образования;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зп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— годовой объем расходов на оплату труда и начисления на выплаты по оплате труда;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 xml:space="preserve">ку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— годовой объем расходов на оплату коммунальных услуг;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мз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— годовой объем расходов на приобретение материальных запасов, основных средств, оплату работ, услуг и прочих расходов.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 w:val="false"/>
          <w:b w:val="false"/>
          <w:bCs w:val="false"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В случае, если годовой объем расходов на содержание аппарата управления муниципального образования, рассчитанный в соответствии с настоящими методическими рекомендациями окажется меньше объема средств, учтенного при формировании межбюджетных трансфертов бюджету муниципального образования на текущий финансовый год на содержание органов местного самоуправления (без учета целевых средств, запланированных дополнительно: приобретение автомобилей, компьютерной техники, проведение ремонта и т.д.), то на очередной финансовый год и плановый период сохраняется объем средств, предусмотренный на текущий финансовый год. 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 w:val="false"/>
          <w:b w:val="false"/>
          <w:bCs w:val="false"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Годовой объем расходов на оплату труда аппарата управления сельского поселения определяется по следующей формуле: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зп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= (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ФОТ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  <w:lang w:val="ru-RU"/>
        </w:rPr>
        <w:t>гл(м.о.)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+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  <w:lang w:val="ru-RU"/>
        </w:rPr>
        <w:t xml:space="preserve"> 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(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Ч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АУП(м.о.)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* ЗП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ср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* 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 xml:space="preserve"> К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  <w:lang w:val="ru-RU"/>
        </w:rPr>
        <w:t>кз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 xml:space="preserve"> * 12)) * 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  <w:lang w:val="ru-RU"/>
        </w:rPr>
        <w:t>взн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ФОТ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  <w:lang w:val="ru-RU"/>
        </w:rPr>
        <w:t xml:space="preserve">гл(м.о.) 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 xml:space="preserve">-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годовой фонд оплаты труда главы муниципального образования, возглавляющего администрацию муниципального образования, определяемый в соответствии с нормативами формирования расходов на оплату труда, утвержденными постановлением Правительства Тюменской области от 16.06.2009 № 163-п;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Ч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  <w:lang w:val="ru-RU"/>
        </w:rPr>
        <w:t>АУП(м.о.)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 xml:space="preserve"> –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расчетная численность АУП муниципального образования (без главы муниципального образования, возглавляющего администрацию муниципального образования);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ЗП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ср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—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среднемесячная заработная плата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составляет с 01.01.2024 года 31,207 тыс. рублей.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К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кз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–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коэффициент компенсации к заработной плате;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взн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—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размер страховых взносов в государственные внебюджетные фонды.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В составе расходов 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 xml:space="preserve">зп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предусматриваются средства </w:t>
      </w:r>
      <w:r>
        <w:rPr>
          <w:rFonts w:ascii="PT Astra Serif" w:hAnsi="PT Astra Serif"/>
          <w:b w:val="false"/>
          <w:bCs w:val="false"/>
          <w:strike w:val="false"/>
          <w:dstrike w:val="false"/>
          <w:position w:val="0"/>
          <w:sz w:val="28"/>
          <w:sz w:val="28"/>
          <w:szCs w:val="28"/>
          <w:shd w:fill="auto" w:val="clear"/>
          <w:vertAlign w:val="baseline"/>
        </w:rPr>
        <w:t xml:space="preserve">на </w:t>
      </w:r>
      <w:r>
        <w:rPr>
          <w:rFonts w:ascii="PT Astra Serif" w:hAnsi="PT Astra Serif"/>
          <w:sz w:val="28"/>
          <w:szCs w:val="28"/>
          <w:shd w:fill="auto" w:val="clear"/>
        </w:rPr>
        <w:t xml:space="preserve">индексацию на 4,5 процента с 1 апреля 2024 года, на 4 процента с 1 октября 2025 года и на 4 процента с 1 октября 2026 года заработной платы 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Годовой объем расходов на оплату коммунальных услуг определяется по следующей формуле: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 xml:space="preserve"> 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 xml:space="preserve">ку 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= 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 xml:space="preserve">ку(пг) 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* 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К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деф(ку)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 xml:space="preserve">ку(пг)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—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объем расходов на оплату коммунальных услуг предшествующего года;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К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деф(ку)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- коэффициент-дефлятор к коммунальным услугам, на 2024год — 1,067, на 2025 год – 1,067, на 2026 год – 1,067.</w:t>
      </w:r>
    </w:p>
    <w:p>
      <w:pPr>
        <w:pStyle w:val="Style18"/>
        <w:spacing w:lineRule="auto" w:line="288" w:before="0" w:after="0"/>
        <w:ind w:left="0" w:right="0" w:firstLine="720"/>
        <w:jc w:val="both"/>
        <w:rPr>
          <w:rFonts w:ascii="PT Astra Serif" w:hAnsi="PT Astra Serif"/>
          <w:b/>
          <w:b/>
          <w:bCs/>
          <w:strike w:val="false"/>
          <w:dstrike w:val="false"/>
          <w:color w:val="auto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Годовой объем расходов на приобретение материальных запасов, основных средств, оплату работ, услуг и прочих расходов определяется по следующей формуле: </w:t>
      </w:r>
    </w:p>
    <w:p>
      <w:pPr>
        <w:pStyle w:val="Style18"/>
        <w:spacing w:lineRule="auto" w:line="288" w:before="0" w:after="0"/>
        <w:ind w:left="0" w:right="0" w:firstLine="720"/>
        <w:jc w:val="both"/>
        <w:rPr>
          <w:rFonts w:ascii="PT Astra Serif" w:hAnsi="PT Astra Serif"/>
          <w:b/>
          <w:b/>
          <w:bCs/>
          <w:strike w:val="false"/>
          <w:dstrike w:val="false"/>
          <w:color w:val="auto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 xml:space="preserve">мз 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= 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мз(пг)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* К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деф(мз)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+Р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мз(р)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мз(пг)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— объем расходов на приобретение материальных запасов, основных средств, оплату работ, услуг и прочих расходов предшествующего года;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/>
        </w:rPr>
        <w:t>К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деф(мз)</w:t>
      </w: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– коэффициент-дефлятор к материальным затратам на 2024 – 2026 равный 1;</w:t>
      </w:r>
    </w:p>
    <w:p>
      <w:pPr>
        <w:pStyle w:val="Style18"/>
        <w:spacing w:lineRule="auto" w:line="288" w:before="0" w:after="0"/>
        <w:ind w:left="0" w:right="0" w:firstLine="720"/>
        <w:jc w:val="both"/>
        <w:rPr>
          <w:rFonts w:ascii="PT Astra Serif" w:hAnsi="PT Astra Serif"/>
          <w:b/>
          <w:b/>
          <w:bCs/>
          <w:strike w:val="false"/>
          <w:dstrike w:val="false"/>
          <w:color w:val="auto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мз(р)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— объем расходов разового характера на проведение текущих и капитальных ремонтов в помещениях, занимаемых органами местного самоуправления, приобретение легковых служебных автомобилей взамен непригодных к эксплуатации, приобретение электронных технических средств (компьютеры, принтеры, МФУ и т.д.) и мебели взамен устаревших;</w:t>
      </w:r>
    </w:p>
    <w:p>
      <w:pPr>
        <w:pStyle w:val="Style18"/>
        <w:spacing w:lineRule="auto" w:line="288" w:before="0" w:after="0"/>
        <w:ind w:left="0" w:right="0" w:firstLine="720"/>
        <w:jc w:val="both"/>
        <w:rPr>
          <w:rFonts w:ascii="PT Astra Serif" w:hAnsi="PT Astra Serif"/>
          <w:b/>
          <w:b/>
          <w:bCs/>
          <w:strike w:val="false"/>
          <w:dstrike w:val="false"/>
          <w:color w:val="auto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Объем расходов разового характера учитывается на основании мотивированного письменного обращения органа местного самоуправления муниципального образования с приложением подтверждающих документов, при этом:</w:t>
      </w:r>
    </w:p>
    <w:p>
      <w:pPr>
        <w:pStyle w:val="Style18"/>
        <w:spacing w:lineRule="auto" w:line="288" w:before="0" w:after="0"/>
        <w:ind w:left="0" w:right="0" w:firstLine="720"/>
        <w:jc w:val="both"/>
        <w:rPr>
          <w:rFonts w:ascii="PT Astra Serif" w:hAnsi="PT Astra Serif"/>
          <w:b/>
          <w:b/>
          <w:bCs/>
          <w:color w:val="auto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- объем </w:t>
      </w: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расходов на приобретение служебных легковых автотранспортных средств для сельских поселений определяется исходя из следующих подходов:- на замену служебных легковых автотранспортных средств, находящихся в неудовлетворительном состоянии с года выпуска которых прошло более 10 лет - не более 1 автомобиля на сельское поселение;</w:t>
      </w:r>
    </w:p>
    <w:p>
      <w:pPr>
        <w:pStyle w:val="Style18"/>
        <w:spacing w:lineRule="auto" w:line="288" w:before="0" w:after="0"/>
        <w:ind w:left="0" w:right="0" w:firstLine="720"/>
        <w:jc w:val="both"/>
        <w:rPr>
          <w:rFonts w:ascii="PT Astra Serif" w:hAnsi="PT Astra Serif" w:cs="Arial"/>
          <w:b w:val="false"/>
          <w:b w:val="false"/>
          <w:bCs w:val="false"/>
          <w:strike w:val="false"/>
          <w:dstrike w:val="false"/>
          <w:color w:val="auto"/>
          <w:position w:val="0"/>
          <w:sz w:val="22"/>
          <w:sz w:val="28"/>
          <w:szCs w:val="28"/>
          <w:shd w:fill="auto" w:val="clear"/>
          <w:vertAlign w:val="baseline"/>
        </w:rPr>
      </w:pP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Приобретение новых служебных легковых автотранспортных средств осуществляется при условии снятия с баланса органов местного самоуправления автомобилей, находящихся в неудовлетворительном техническом состоянии путем включения их в план приватизации муниципального имущества на очередной финансовый год или их утилизации;</w:t>
      </w:r>
    </w:p>
    <w:p>
      <w:pPr>
        <w:pStyle w:val="Style18"/>
        <w:spacing w:lineRule="auto" w:line="288" w:before="0" w:after="0"/>
        <w:ind w:left="0" w:right="0" w:firstLine="720"/>
        <w:jc w:val="both"/>
        <w:rPr>
          <w:rFonts w:ascii="PT Astra Serif" w:hAnsi="PT Astra Serif"/>
          <w:b w:val="false"/>
          <w:b w:val="false"/>
          <w:bCs w:val="false"/>
          <w:strike w:val="false"/>
          <w:dstrike w:val="false"/>
          <w:color w:val="auto"/>
          <w:position w:val="0"/>
          <w:sz w:val="22"/>
          <w:sz w:val="28"/>
          <w:szCs w:val="28"/>
          <w:shd w:fill="auto" w:val="clear"/>
          <w:vertAlign w:val="baseline"/>
        </w:rPr>
      </w:pP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- объем расходов на приобретение электронных технических средств и мебели определяется исходя из необходимости их обновления 1 раз в 9 лет с учетом 100 % износа.</w:t>
      </w:r>
    </w:p>
    <w:p>
      <w:pPr>
        <w:pStyle w:val="2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Методика расчета численности аппарата управления поселения 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Базовая численность работников аппарата управления – 5,5 штатных единиц, в том числе: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- 1 шт. ед. – глава муниципального образования;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- 1 шт. ед. – бухгалтер;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- 2 шт. ед. – специалист;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- 1 шт. ед. – водитель;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- 0,5 шт. ед. – уборщица.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Расчетная численность аппарата управления в зависимости от численности населения составляет:</w:t>
      </w:r>
    </w:p>
    <w:tbl>
      <w:tblPr>
        <w:tblW w:w="10260" w:type="dxa"/>
        <w:jc w:val="left"/>
        <w:tblInd w:w="-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7359"/>
      </w:tblGrid>
      <w:tr>
        <w:trPr/>
        <w:tc>
          <w:tcPr>
            <w:tcW w:w="2900" w:type="dxa"/>
            <w:tcBorders/>
          </w:tcPr>
          <w:p>
            <w:pPr>
              <w:pStyle w:val="Style26"/>
              <w:widowControl w:val="false"/>
              <w:suppressLineNumbers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  <w:t>Численность населения</w:t>
            </w:r>
          </w:p>
        </w:tc>
        <w:tc>
          <w:tcPr>
            <w:tcW w:w="7359" w:type="dxa"/>
            <w:tcBorders/>
          </w:tcPr>
          <w:p>
            <w:pPr>
              <w:pStyle w:val="Style26"/>
              <w:widowControl w:val="false"/>
              <w:spacing w:lineRule="auto" w:line="288" w:before="0" w:after="0"/>
              <w:ind w:left="0" w:right="0"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  <w:t>Расчетная численность в зависимости от численности населения (шт. ед.)</w:t>
            </w:r>
          </w:p>
        </w:tc>
      </w:tr>
      <w:tr>
        <w:trPr/>
        <w:tc>
          <w:tcPr>
            <w:tcW w:w="2900" w:type="dxa"/>
            <w:tcBorders/>
          </w:tcPr>
          <w:p>
            <w:pPr>
              <w:pStyle w:val="Style26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  <w:t>до 2 тыс. чел.</w:t>
            </w:r>
          </w:p>
        </w:tc>
        <w:tc>
          <w:tcPr>
            <w:tcW w:w="7359" w:type="dxa"/>
            <w:tcBorders/>
          </w:tcPr>
          <w:p>
            <w:pPr>
              <w:pStyle w:val="Style26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  <w:t>5,5</w:t>
            </w:r>
          </w:p>
        </w:tc>
      </w:tr>
      <w:tr>
        <w:trPr/>
        <w:tc>
          <w:tcPr>
            <w:tcW w:w="2900" w:type="dxa"/>
            <w:tcBorders/>
          </w:tcPr>
          <w:p>
            <w:pPr>
              <w:pStyle w:val="Style26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  <w:t>от 2 до 5 тыс. чел.</w:t>
            </w:r>
          </w:p>
        </w:tc>
        <w:tc>
          <w:tcPr>
            <w:tcW w:w="7359" w:type="dxa"/>
            <w:tcBorders/>
          </w:tcPr>
          <w:p>
            <w:pPr>
              <w:pStyle w:val="Style26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  <w:t>5,5 + по 1 шт. ед. на каждую полную тысячу свыше 2 тыс. чел.</w:t>
            </w:r>
          </w:p>
        </w:tc>
      </w:tr>
      <w:tr>
        <w:trPr/>
        <w:tc>
          <w:tcPr>
            <w:tcW w:w="2900" w:type="dxa"/>
            <w:tcBorders/>
          </w:tcPr>
          <w:p>
            <w:pPr>
              <w:pStyle w:val="Style26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  <w:t>от 5 до 10 тыс. чел.</w:t>
            </w:r>
          </w:p>
        </w:tc>
        <w:tc>
          <w:tcPr>
            <w:tcW w:w="7359" w:type="dxa"/>
            <w:tcBorders/>
          </w:tcPr>
          <w:p>
            <w:pPr>
              <w:pStyle w:val="Style26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  <w:t>7,5 + по 1,5 шт. ед. на каждую полную тысячу свыше 5 тыс. чел.</w:t>
            </w:r>
          </w:p>
        </w:tc>
      </w:tr>
      <w:tr>
        <w:trPr/>
        <w:tc>
          <w:tcPr>
            <w:tcW w:w="2900" w:type="dxa"/>
            <w:tcBorders/>
          </w:tcPr>
          <w:p>
            <w:pPr>
              <w:pStyle w:val="Style26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  <w:t>свыше 10 тыс. чел.</w:t>
            </w:r>
          </w:p>
        </w:tc>
        <w:tc>
          <w:tcPr>
            <w:tcW w:w="7359" w:type="dxa"/>
            <w:tcBorders/>
          </w:tcPr>
          <w:p>
            <w:pPr>
              <w:pStyle w:val="Style26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fill="auto" w:val="clear"/>
              </w:rPr>
              <w:t>15 + по 2 шт. ед. на каждую полную тысячу свыше 10 тыс. чел.</w:t>
            </w:r>
          </w:p>
        </w:tc>
      </w:tr>
    </w:tbl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Для муниципального образования, число населенных пунктов в которых 4 и выше, к получившейся численности АУП применяется коэффициент зависимости от числа населенных пунктов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  <w:t>(с округлением до 0,5 единиц)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- от 4 до 7 населенных пунктов – коэффициент 1,3;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- от 8 населенных пунктов и выше – коэффициент 1,6.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Для исполнения полномочий в сфере градостроительной деятельности,  переданных с уровня сельских поселений Тюменского муниципального района на уровень Тюменского муниципального района из полученной расчетной численности исключаются: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Боровское сельское поселение: - 2 ед.;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  <w:t>* В случае, если изменение численности населения муниципального образования по сравнению с предшествующим годом влечет изменение расчетной численности аппарата управления муниципального образования, расчетная численность аппарата управления муниципального образования сохраняется на уровне предшествующего года.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>1</w:t>
      </w:r>
      <w:r>
        <w:rPr>
          <w:rFonts w:ascii="PT Astra Serif" w:hAnsi="PT Astra Serif"/>
          <w:b/>
          <w:color w:val="000000"/>
          <w:sz w:val="28"/>
          <w:szCs w:val="28"/>
          <w:shd w:fill="auto" w:val="clear"/>
          <w:lang w:val="en-US"/>
        </w:rPr>
        <w:t>0</w:t>
      </w: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>.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>Расходы на осуществление внешнего муниципального финансового контроля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Планирование расходов на осуществление внешнего муниципального финансового контроля осуществляется исходя из количества членов контрольно-счетного органа сельского поселения и средней суммы расходов на материально-техническое обеспечение одной штатной единицы аппарата управления сельского поселения в год по формуле: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ксо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= Ч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ксо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* 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ауп (мто-ср)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Ч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ксо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расчетная численность работников контрольно-счетного органа сельского поселения;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ауп(мто-ср)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средняя сумма расходов на материально-техническое обеспечение одной штатной единицы аппарата управления сельского поселения в год.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>1</w:t>
      </w:r>
      <w:r>
        <w:rPr>
          <w:rFonts w:eastAsia="Calibri" w:cs="Tahoma" w:ascii="PT Astra Serif" w:hAnsi="PT Astra Serif"/>
          <w:b/>
          <w:color w:val="000000"/>
          <w:kern w:val="0"/>
          <w:sz w:val="28"/>
          <w:szCs w:val="28"/>
          <w:shd w:fill="auto" w:val="clear"/>
          <w:lang w:val="ru-RU" w:eastAsia="en-US" w:bidi="ar-SA"/>
        </w:rPr>
        <w:t>3</w:t>
      </w: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 xml:space="preserve">. Расходы по уплате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домах. 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Объем расходов на уплату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 определяется по формуле: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вз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= П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жф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× В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з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× К,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 xml:space="preserve">вз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– объем расходов;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П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жф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  <w:t>площадь муниципальной собственности в многоквартирных домах, учтенных Региональной программой капитального ремонта общего имущества в многоквартирных домах Тюменской области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В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з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минимальный размер взноса на капитальный ремонт общего имущества в многоквартирном доме в размере 7,5 руб. в месяц на 1 кв. метр жилого (нежилого) помещения в многоквартирном доме, установленный постановлением Правительства Тюменской области от 15.12.2014 № 642-п;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К – количество месяцев в году.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>1</w:t>
      </w:r>
      <w:r>
        <w:rPr>
          <w:rFonts w:ascii="PT Astra Serif" w:hAnsi="PT Astra Serif"/>
          <w:b/>
          <w:color w:val="000000"/>
          <w:sz w:val="28"/>
          <w:szCs w:val="28"/>
          <w:shd w:fill="auto" w:val="clear"/>
          <w:lang w:val="en-US"/>
        </w:rPr>
        <w:t>4</w:t>
      </w: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>. Расходы на исполнение полномочия по оформлению объектов недвижимого имущества (за исключением бесхозяйных) не зарегистрированных в установленном действующим законодательством порядке в муниципальную собственность.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Объем расходов на исполнение полномочия рассчитывается по формуле: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 = 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кад.зд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* К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 xml:space="preserve">зд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+ Р 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 xml:space="preserve">кад.зу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* S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зу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* Кк,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 – объем расходов на реализацию полномочия;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кад.зд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расходы на оплату кадастровых работ (изготовление технического плана) в отношении одного здания, сооружения, помещения или объекта незавершенного строительства;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К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зд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количество зданий, сооружений, помещений или объектов незавершенного строительства, не зарегистрированных в установленном действующим законодательством порядке в муниципальную собственность, и подлежащих оформлению в очередном финансовом году;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кад.зу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расходы на оплату кадастровых работ (изготовление межевого плана) одного земельного участка;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S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зу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количество земельных участков, не зарегистрированных в установленном действующим законодательством порядке в муниципальную собственность, и подлежащих оформлению в очередном финансовом году;</w:t>
      </w:r>
    </w:p>
    <w:p>
      <w:pPr>
        <w:pStyle w:val="Style18"/>
        <w:spacing w:lineRule="auto" w:line="240" w:before="0" w:after="0"/>
        <w:ind w:left="0" w:right="0" w:firstLine="720"/>
        <w:jc w:val="both"/>
        <w:rPr/>
      </w:pPr>
      <w:r>
        <w:rPr>
          <w:rStyle w:val="Style16"/>
          <w:rFonts w:cs="Arial" w:ascii="PT Astra Serif" w:hAnsi="PT Astra Serif"/>
          <w:i w:val="false"/>
          <w:iCs w:val="false"/>
          <w:color w:val="000000"/>
          <w:sz w:val="28"/>
          <w:szCs w:val="28"/>
          <w:shd w:fill="auto" w:val="clear"/>
        </w:rPr>
        <w:t>К</w:t>
      </w:r>
      <w:r>
        <w:rPr>
          <w:rStyle w:val="Style16"/>
          <w:rFonts w:cs="Arial" w:ascii="PT Astra Serif" w:hAnsi="PT Astra Serif"/>
          <w:i w:val="false"/>
          <w:iCs w:val="false"/>
          <w:color w:val="000000"/>
          <w:position w:val="-2"/>
          <w:sz w:val="28"/>
          <w:szCs w:val="28"/>
          <w:shd w:fill="auto" w:val="clear"/>
        </w:rPr>
        <w:t xml:space="preserve">к </w:t>
      </w:r>
      <w:r>
        <w:rPr>
          <w:rStyle w:val="Style16"/>
          <w:rFonts w:cs="Arial" w:ascii="PT Astra Serif" w:hAnsi="PT Astra Serif"/>
          <w:i w:val="false"/>
          <w:iCs w:val="false"/>
          <w:color w:val="000000"/>
          <w:sz w:val="28"/>
          <w:szCs w:val="28"/>
          <w:shd w:fill="auto" w:val="clear"/>
        </w:rPr>
        <w:t>– корректирующий коэффициент в 2024 году - 0,5; в 2025 году - 0,744; в 2026 году - 0,984.</w:t>
      </w:r>
    </w:p>
    <w:p>
      <w:pPr>
        <w:pStyle w:val="Style18"/>
        <w:spacing w:lineRule="auto" w:line="276" w:before="0" w:after="0"/>
        <w:ind w:left="0" w:right="0" w:firstLine="720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</w:rPr>
        <w:t>1</w:t>
      </w:r>
      <w:r>
        <w:rPr>
          <w:rFonts w:eastAsia="Calibri" w:cs="Tahoma" w:ascii="PT Astra Serif" w:hAnsi="PT Astra Serif"/>
          <w:b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>5</w:t>
      </w: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</w:rPr>
        <w:t>. Расходы на выплату пенсии за выслугу лет лицам, замещавшим должности муниципальной службы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Годовой объем расходов на выплату пенсии за выслугу лет лицу, замещавшему должность муниципальной службы конкретного муниципального образования определяется по формуле: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пенс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= ((СМЗ * % стажа) -  П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стр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) * 12,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СМЗ — размер среднемесячного заработка муниципального служащего на дату увольнения (не более должностного оклада с коэффициентом 1,8 и районным коэффициентом);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% стажа — составляет от 45% до 75% в зависимости от стажа муниципальной службы в соответствии с действующим законодательством в области пенсионного обеспечения государственных гражданских служащих;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П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стр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— размер страховой пенсии по старости (инвалидности) и накопительной пенсии, установленных в соответствии с Федеральными законами «О страховых пенсиях» и «О накопительной пенсии», либо пенсии, назначаемой в соответствии с пунктом 2 статьи 32 Закона Российской Федерации «О занятости населения в Российской Федерации».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auto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Минимальный размер пенсии за выслугу лет лицам, замещавшим должности муниципальной службы составляет 3500 рублей в месяц, максимальный размер 5500 рублей в месяц.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 w:cs="Arial"/>
          <w:b w:val="false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b w:val="false"/>
          <w:b w:val="false"/>
          <w:bCs w:val="false"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eastAsia="Times New Roman" w:cs="Times New Roman" w:ascii="PT Astra Serif" w:hAnsi="PT Astra Serif"/>
          <w:b/>
          <w:bCs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1</w:t>
      </w:r>
      <w:r>
        <w:rPr>
          <w:rFonts w:eastAsia="Times New Roman" w:cs="Times New Roman" w:ascii="PT Astra Serif" w:hAnsi="PT Astra Serif"/>
          <w:b/>
          <w:bCs/>
          <w:i w:val="false"/>
          <w:iCs w:val="false"/>
          <w:strike w:val="false"/>
          <w:dstrike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en-US" w:eastAsia="en-US" w:bidi="ar-SA"/>
        </w:rPr>
        <w:t>6</w:t>
      </w:r>
      <w:r>
        <w:rPr>
          <w:rFonts w:eastAsia="Times New Roman" w:cs="Times New Roman" w:ascii="PT Astra Serif" w:hAnsi="PT Astra Serif"/>
          <w:b/>
          <w:bCs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. Расходы </w:t>
      </w:r>
      <w:r>
        <w:rPr>
          <w:rFonts w:eastAsia="Times New Roman" w:cs="Times New Roman" w:ascii="PT Astra Serif" w:hAnsi="PT Astra Serif"/>
          <w:b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связанные с эксплуатацией имущества – соответствуют прогнозу доходов на очередной финансовый год и плановый период, поступающих в порядке возмещения расходов, понесенных в связи с эксплуатацией муниципального имущества, рассчитанных на основании ожидаемого поступления в бюджет муниципального образования на текущий финансовый год, динамики поступления в предыдущем финансовом году с учетом коэффициента роста поступлений на очередной финансовый год.</w:t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r>
    </w:p>
    <w:p>
      <w:pPr>
        <w:pStyle w:val="Normal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  <w:lang w:val="ru-RU"/>
        </w:rPr>
        <w:t>1</w:t>
      </w:r>
      <w:r>
        <w:rPr>
          <w:rFonts w:eastAsia="Calibri" w:cs="Tahoma" w:ascii="PT Astra Serif" w:hAnsi="PT Astra Serif"/>
          <w:b/>
          <w:bCs/>
          <w:color w:val="000000"/>
          <w:kern w:val="0"/>
          <w:sz w:val="28"/>
          <w:szCs w:val="28"/>
          <w:shd w:fill="auto" w:val="clear"/>
          <w:lang w:val="en-US" w:eastAsia="en-US" w:bidi="ar-SA"/>
        </w:rPr>
        <w:t>7</w:t>
      </w: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</w:rPr>
        <w:t xml:space="preserve">. Расходы на исполнение полномочия по </w:t>
      </w:r>
      <w:r>
        <w:rPr>
          <w:rFonts w:ascii="PT Astra Serif" w:hAnsi="PT Astra Serif"/>
          <w:b/>
          <w:bCs/>
          <w:strike w:val="false"/>
          <w:dstrike w:val="false"/>
          <w:color w:val="000000"/>
          <w:sz w:val="28"/>
          <w:szCs w:val="28"/>
          <w:shd w:fill="auto" w:val="clear"/>
        </w:rPr>
        <w:t>созданию условий для организации досуга и обеспечения жителей поселения услугами организаций культуры.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  <w:t>Объем расходов сельского поселения (Р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к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  <w:t>) на создание условий для организации досуга и обеспечения жителей поселения услугами организаций культуры рассчитываются по формуле: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к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  <w:t xml:space="preserve"> = 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  <w:lang w:val="en-US"/>
        </w:rPr>
        <w:t>N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к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  <w:t xml:space="preserve"> * Ч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н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  <w:t xml:space="preserve"> 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  <w:lang w:val="en-US"/>
        </w:rPr>
        <w:t>N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к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  <w:t xml:space="preserve"> – норматив затрат на реализацию полномочия на одного жителя в год;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 w:cs="Arial"/>
          <w:b w:val="false"/>
          <w:b w:val="false"/>
          <w:bCs w:val="false"/>
          <w:strike w:val="false"/>
          <w:dstrike w:val="false"/>
          <w:color w:val="000000"/>
          <w:position w:val="0"/>
          <w:sz w:val="22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Ч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vertAlign w:val="subscript"/>
        </w:rPr>
        <w:t>н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– численность населения сельского поселения на начало текущего года (по данным Территориального органа Федеральной службы государственной статистики по Тюменской области).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 w:cs="Arial"/>
          <w:b w:val="false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b/>
          <w:b/>
          <w:bCs/>
          <w:sz w:val="28"/>
          <w:szCs w:val="28"/>
          <w:shd w:fill="auto" w:val="clear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</w:rPr>
        <w:t>1</w:t>
      </w:r>
      <w:r>
        <w:rPr>
          <w:rFonts w:eastAsia="Calibri" w:cs="Tahoma" w:ascii="PT Astra Serif" w:hAnsi="PT Astra Serif"/>
          <w:b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>8</w:t>
      </w:r>
      <w:r>
        <w:rPr>
          <w:rFonts w:ascii="PT Astra Serif" w:hAnsi="PT Astra Serif"/>
          <w:b/>
          <w:bCs/>
          <w:color w:val="000000"/>
          <w:sz w:val="28"/>
          <w:szCs w:val="28"/>
          <w:shd w:fill="auto" w:val="clear"/>
        </w:rPr>
        <w:t xml:space="preserve">. Расходы на исполнение полномочия по </w:t>
      </w:r>
      <w:r>
        <w:rPr>
          <w:rFonts w:ascii="PT Astra Serif" w:hAnsi="PT Astra Serif"/>
          <w:b/>
          <w:bCs/>
          <w:sz w:val="28"/>
          <w:szCs w:val="28"/>
          <w:shd w:fill="auto" w:val="clear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Планируемые расходы сельского поселения на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определяются по формуле: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  <w:lang w:val="en-US"/>
        </w:rPr>
        <w:t>i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 xml:space="preserve"> план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=  Н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к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* Ж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  <w:lang w:val="en-US"/>
        </w:rPr>
        <w:t xml:space="preserve">i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  <w:lang w:val="en-US"/>
        </w:rPr>
        <w:t>i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 xml:space="preserve"> план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плановый объем расходов на реализацию полномочия;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en-US"/>
        </w:rPr>
        <w:t>H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  <w:lang w:val="en-US"/>
        </w:rPr>
        <w:t>k</w:t>
      </w:r>
      <w:r>
        <w:rPr>
          <w:rFonts w:ascii="PT Astra Serif" w:hAnsi="PT Astra Serif"/>
          <w:color w:val="000000"/>
          <w:position w:val="-9"/>
          <w:sz w:val="28"/>
          <w:szCs w:val="28"/>
          <w:shd w:fill="auto" w:val="clear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– норматив затрат на реализацию полномочия на одного жителя в год;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 w:cs="Arial"/>
          <w:b w:val="false"/>
          <w:b w:val="false"/>
          <w:bCs w:val="false"/>
          <w:strike w:val="false"/>
          <w:dstrike w:val="false"/>
          <w:color w:val="000000"/>
          <w:position w:val="0"/>
          <w:sz w:val="22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Ж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vertAlign w:val="subscript"/>
          <w:lang w:val="en-US"/>
        </w:rPr>
        <w:t>i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– численность населения муниципального образования на начало текущего года (по данным Территориального органа Федеральной службы государственной статистики по Тюменской области).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r>
    </w:p>
    <w:p>
      <w:pPr>
        <w:pStyle w:val="Style18"/>
        <w:spacing w:lineRule="auto" w:line="288" w:before="0" w:after="0"/>
        <w:ind w:left="0" w:right="0" w:firstLine="720"/>
        <w:jc w:val="both"/>
        <w:rPr>
          <w:rFonts w:ascii="PT Astra Serif" w:hAnsi="PT Astra Serif"/>
          <w:b/>
          <w:b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/>
          <w:strike w:val="false"/>
          <w:dstrike w:val="false"/>
          <w:color w:val="000000"/>
          <w:sz w:val="28"/>
          <w:szCs w:val="28"/>
          <w:shd w:fill="auto" w:val="clear"/>
        </w:rPr>
        <w:t>19.</w:t>
      </w:r>
      <w:r>
        <w:rPr>
          <w:rFonts w:ascii="PT Astra Serif" w:hAnsi="PT Astra Serif"/>
          <w:b/>
          <w:color w:val="000000"/>
          <w:sz w:val="28"/>
          <w:szCs w:val="28"/>
          <w:shd w:fill="auto" w:val="clear"/>
        </w:rPr>
        <w:t xml:space="preserve"> Расходы, связанные с содержанием имущества, находящегося в муниципальной собственности.</w:t>
      </w:r>
    </w:p>
    <w:p>
      <w:pPr>
        <w:pStyle w:val="Style18"/>
        <w:spacing w:lineRule="auto" w:line="288" w:before="0" w:after="0"/>
        <w:ind w:left="0" w:right="0" w:firstLine="720"/>
        <w:jc w:val="both"/>
        <w:rPr>
          <w:rFonts w:ascii="PT Astra Serif" w:hAnsi="PT Astra Serif"/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  <w:t xml:space="preserve">Объем расходов на содержание имущества, находящегося в муниципальной собственности учитывается в бюджете </w:t>
      </w: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на основании расчета потребности в средствах на содержание данного имущества</w:t>
      </w:r>
    </w:p>
    <w:p>
      <w:pPr>
        <w:pStyle w:val="Style18"/>
        <w:spacing w:lineRule="auto" w:line="288" w:before="0" w:after="0"/>
        <w:ind w:left="0" w:right="0" w:firstLine="720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 w:cs="Arial"/>
          <w:b/>
          <w:b/>
          <w:bCs/>
          <w:strike w:val="false"/>
          <w:dstrike w:val="false"/>
          <w:color w:val="000000"/>
          <w:position w:val="0"/>
          <w:sz w:val="22"/>
          <w:sz w:val="28"/>
          <w:szCs w:val="28"/>
          <w:shd w:fill="auto" w:val="clear"/>
          <w:vertAlign w:val="baseline"/>
        </w:rPr>
      </w:pPr>
      <w:r>
        <w:rPr>
          <w:rFonts w:eastAsia="Calibri" w:cs="Arial" w:ascii="PT Astra Serif" w:hAnsi="PT Astra Serif"/>
          <w:b/>
          <w:bCs/>
          <w:strike w:val="false"/>
          <w:dstrike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en-US" w:bidi="ar-SA"/>
        </w:rPr>
        <w:t>20</w:t>
      </w:r>
      <w:r>
        <w:rPr>
          <w:rFonts w:cs="Arial"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. Осуществление первичного воинского учета за счет средств местного бюджета, на территориях, где отсутствуют военкоматы.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Расходы на осуществление первичного воинского учета за счет местного бюджета планируются исходя из количества </w:t>
      </w: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военно-учетных работников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и норматива расходов на содержание данных работников: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Р = К * 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en-US"/>
        </w:rPr>
        <w:t>N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– объем расходов;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 w:cs="Arial"/>
          <w:b/>
          <w:b/>
          <w:bCs/>
          <w:strike w:val="false"/>
          <w:dstrike w:val="false"/>
          <w:color w:val="000000"/>
          <w:position w:val="0"/>
          <w:sz w:val="22"/>
          <w:sz w:val="28"/>
          <w:szCs w:val="28"/>
          <w:shd w:fill="auto" w:val="clear"/>
          <w:vertAlign w:val="baseline"/>
        </w:rPr>
      </w:pP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К </w:t>
      </w:r>
      <w:r>
        <w:rPr>
          <w:rFonts w:cs="Arial"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– </w:t>
      </w: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количество военно-учетных работников, определенных исходя из наличия граждан, состоящих на воинском учете;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N – норматив расходов на содержание </w:t>
      </w: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военно-учетного работника .</w:t>
      </w:r>
    </w:p>
    <w:p>
      <w:pPr>
        <w:pStyle w:val="2"/>
        <w:spacing w:lineRule="auto" w:line="288" w:before="0" w:after="0"/>
        <w:ind w:left="0" w:right="0" w:firstLine="709"/>
        <w:jc w:val="center"/>
        <w:rPr>
          <w:rFonts w:ascii="PT Astra Serif" w:hAnsi="PT Astra Serif" w:cs="Arial"/>
          <w:b/>
          <w:b/>
          <w:bCs/>
          <w:strike w:val="false"/>
          <w:dstrike w:val="false"/>
          <w:color w:val="000000"/>
          <w:position w:val="0"/>
          <w:sz w:val="22"/>
          <w:sz w:val="28"/>
          <w:szCs w:val="28"/>
          <w:shd w:fill="auto" w:val="clear"/>
          <w:vertAlign w:val="baseline"/>
        </w:rPr>
      </w:pPr>
      <w:r>
        <w:rPr>
          <w:rFonts w:cs="Arial"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Методика расчета количества военно-учетных работников, осуществляющих ведение первичного воинского учета граждан.</w:t>
      </w: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</w:t>
      </w:r>
    </w:p>
    <w:p>
      <w:pPr>
        <w:pStyle w:val="2"/>
        <w:spacing w:lineRule="auto" w:line="288" w:before="0" w:after="0"/>
        <w:ind w:left="0" w:right="0" w:firstLine="709"/>
        <w:jc w:val="both"/>
        <w:rPr>
          <w:rFonts w:ascii="PT Astra Serif" w:hAnsi="PT Astra Serif" w:cs="Arial"/>
          <w:b w:val="false"/>
          <w:b w:val="false"/>
          <w:bCs w:val="false"/>
          <w:strike w:val="false"/>
          <w:dstrike w:val="false"/>
          <w:color w:val="000000"/>
          <w:position w:val="0"/>
          <w:sz w:val="22"/>
          <w:sz w:val="28"/>
          <w:szCs w:val="28"/>
          <w:shd w:fill="auto" w:val="clear"/>
          <w:vertAlign w:val="baseline"/>
        </w:rPr>
      </w:pP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Количество военно-учетных работников определяется с учетом следующих норм:</w:t>
      </w:r>
    </w:p>
    <w:p>
      <w:pPr>
        <w:pStyle w:val="Style18"/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ascii="PT Astra Serif" w:hAnsi="PT Astra Serif"/>
          <w:sz w:val="28"/>
          <w:szCs w:val="28"/>
          <w:shd w:fill="auto" w:val="clear"/>
        </w:rPr>
        <w:t>а) 0,2 единицы при наличии на воинском учете до 200 граждан;</w:t>
      </w:r>
    </w:p>
    <w:p>
      <w:pPr>
        <w:pStyle w:val="Style18"/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ascii="PT Astra Serif" w:hAnsi="PT Astra Serif"/>
          <w:sz w:val="28"/>
          <w:szCs w:val="28"/>
          <w:shd w:fill="auto" w:val="clear"/>
        </w:rPr>
        <w:t>б) 0,3 единицы при наличии на воинском учете от 200 до 300 граждан;</w:t>
      </w:r>
    </w:p>
    <w:p>
      <w:pPr>
        <w:pStyle w:val="Style18"/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ascii="PT Astra Serif" w:hAnsi="PT Astra Serif"/>
          <w:sz w:val="28"/>
          <w:szCs w:val="28"/>
          <w:shd w:fill="auto" w:val="clear"/>
        </w:rPr>
        <w:t>в) 0,4 единицы при наличии на воинском учете от 300 до 400 граждан;</w:t>
      </w:r>
    </w:p>
    <w:p>
      <w:pPr>
        <w:pStyle w:val="Style18"/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ascii="PT Astra Serif" w:hAnsi="PT Astra Serif"/>
          <w:sz w:val="28"/>
          <w:szCs w:val="28"/>
          <w:shd w:fill="auto" w:val="clear"/>
        </w:rPr>
        <w:t>г) 0,5 единицы при наличии на воинском учете от 400 до 500 граждан;</w:t>
      </w:r>
    </w:p>
    <w:p>
      <w:pPr>
        <w:pStyle w:val="Style18"/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ascii="PT Astra Serif" w:hAnsi="PT Astra Serif"/>
          <w:sz w:val="28"/>
          <w:szCs w:val="28"/>
          <w:shd w:fill="auto" w:val="clear"/>
        </w:rPr>
        <w:t>д) 1 освобожденный работник при наличии на воинском учете от 500 до 1000 граждан;</w:t>
      </w:r>
    </w:p>
    <w:p>
      <w:pPr>
        <w:pStyle w:val="Style18"/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ascii="PT Astra Serif" w:hAnsi="PT Astra Serif"/>
          <w:sz w:val="28"/>
          <w:szCs w:val="28"/>
          <w:shd w:fill="auto" w:val="clear"/>
        </w:rPr>
        <w:t>е) 1 освобожденный работник на каждую последующую 1000 граждан, состоящих на воинском учете.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 w:cs="Arial"/>
          <w:b w:val="false"/>
          <w:b w:val="false"/>
          <w:bCs w:val="false"/>
          <w:strike w:val="false"/>
          <w:dstrike w:val="false"/>
          <w:color w:val="000000"/>
          <w:position w:val="0"/>
          <w:sz w:val="22"/>
          <w:sz w:val="28"/>
          <w:szCs w:val="28"/>
          <w:shd w:fill="auto" w:val="clear"/>
          <w:vertAlign w:val="baseline"/>
        </w:rPr>
      </w:pPr>
      <w:r>
        <w:rPr>
          <w:rFonts w:cs="Arial"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</w:t>
      </w:r>
      <w:r>
        <w:rPr>
          <w:rFonts w:cs="Arial"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2</w:t>
      </w:r>
      <w:r>
        <w:rPr>
          <w:rFonts w:eastAsia="Calibri" w:cs="Arial" w:ascii="PT Astra Serif" w:hAnsi="PT Astra Serif"/>
          <w:b/>
          <w:bCs/>
          <w:strike w:val="false"/>
          <w:dstrike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en-US" w:bidi="ar-SA"/>
        </w:rPr>
        <w:t>1</w:t>
      </w:r>
      <w:r>
        <w:rPr>
          <w:rFonts w:cs="Arial" w:ascii="PT Astra Serif" w:hAnsi="PT Astra Serif"/>
          <w:b/>
          <w:bCs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. Техническое обслуживание объектов (сетей) газораспределения, находящихся в муниципальной собственности.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Объем расходов на т</w:t>
      </w: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ехническое обслуживание объектов (сетей) газораспределения,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находящихся в муниципальной собственности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определяется по формуле:</w:t>
      </w:r>
    </w:p>
    <w:p>
      <w:pPr>
        <w:pStyle w:val="Style18"/>
        <w:spacing w:lineRule="auto" w:line="288" w:before="0" w:after="0"/>
        <w:ind w:left="0" w:right="0" w:firstLine="709"/>
        <w:jc w:val="center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>ОБ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= П × С, где: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Роб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– объем расходов;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П – </w:t>
      </w:r>
      <w:r>
        <w:rPr>
          <w:rFonts w:ascii="PT Astra Serif" w:hAnsi="PT Astra Serif"/>
          <w:strike w:val="false"/>
          <w:dstrike w:val="false"/>
          <w:color w:val="000000"/>
          <w:sz w:val="28"/>
          <w:szCs w:val="28"/>
          <w:shd w:fill="auto" w:val="clear"/>
        </w:rPr>
        <w:t xml:space="preserve">протяженность сетей </w:t>
      </w:r>
      <w:r>
        <w:rPr>
          <w:rFonts w:ascii="PT Astra Serif" w:hAnsi="PT Astra Serif"/>
          <w:b w:val="false"/>
          <w:bCs w:val="false"/>
          <w:strike w:val="false"/>
          <w:dstrike w:val="false"/>
          <w:color w:val="000000"/>
          <w:sz w:val="28"/>
          <w:szCs w:val="28"/>
          <w:shd w:fill="auto" w:val="clear"/>
        </w:rPr>
        <w:t>г</w:t>
      </w: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азораспределения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shd w:fill="auto" w:val="clear"/>
        </w:rPr>
        <w:t>;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/>
          <w:color w:val="000000"/>
          <w:sz w:val="28"/>
          <w:szCs w:val="28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С – средняя стоимость работ по техническому обслуживанию 1 км газопровода.</w:t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ascii="PT Astra Serif" w:hAnsi="PT Astra Serif" w:cs="Arial"/>
          <w:b w:val="false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cs="Arial" w:ascii="PT Astra Serif" w:hAnsi="PT Astra 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r>
    </w:p>
    <w:p>
      <w:pPr>
        <w:pStyle w:val="Style18"/>
        <w:spacing w:lineRule="auto" w:line="288" w:before="0" w:after="0"/>
        <w:ind w:left="0" w:right="0" w:firstLine="709"/>
        <w:jc w:val="both"/>
        <w:rPr>
          <w:rFonts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position w:val="0"/>
          <w:sz w:val="22"/>
          <w:sz w:val="28"/>
          <w:vertAlign w:val="baseline"/>
          <w:lang w:val="ru-RU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swiss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9225231"/>
    </w:sdtPr>
    <w:sdtContent>
      <w:p>
        <w:pPr>
          <w:pStyle w:val="Style23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13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64b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andard"/>
    <w:qFormat/>
    <w:pPr>
      <w:keepNext w:val="true"/>
      <w:spacing w:lineRule="auto" w:line="240" w:before="240" w:after="0"/>
      <w:jc w:val="center"/>
      <w:outlineLvl w:val="0"/>
    </w:pPr>
    <w:rPr>
      <w:rFonts w:ascii="Arial" w:hAnsi="Arial"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 w:val="true"/>
      <w:spacing w:lineRule="auto" w:line="240" w:before="240" w:after="0"/>
      <w:jc w:val="center"/>
      <w:outlineLvl w:val="1"/>
    </w:pPr>
    <w:rPr>
      <w:rFonts w:ascii="Times New Roman" w:hAnsi="Times New Roman" w:eastAsia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 w:val="true"/>
      <w:spacing w:lineRule="auto" w:line="240" w:before="240" w:after="0"/>
      <w:jc w:val="center"/>
      <w:outlineLvl w:val="2"/>
    </w:pPr>
    <w:rPr>
      <w:rFonts w:ascii="Times New Roman" w:hAnsi="Times New Roman" w:eastAsia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 w:val="true"/>
      <w:widowControl w:val="false"/>
      <w:shd w:val="clear" w:color="auto" w:fill="FFFFFF"/>
      <w:tabs>
        <w:tab w:val="clear" w:pos="709"/>
        <w:tab w:val="left" w:pos="1118" w:leader="none"/>
      </w:tabs>
      <w:spacing w:lineRule="auto" w:line="240" w:before="240" w:after="0"/>
      <w:ind w:firstLine="709"/>
      <w:jc w:val="both"/>
      <w:outlineLvl w:val="3"/>
    </w:pPr>
    <w:rPr>
      <w:rFonts w:ascii="Times New Roman" w:hAnsi="Times New Roman" w:eastAsia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 w:val="true"/>
      <w:widowControl w:val="false"/>
      <w:spacing w:lineRule="auto" w:line="240" w:before="240" w:after="0"/>
      <w:jc w:val="center"/>
      <w:outlineLvl w:val="4"/>
    </w:pPr>
    <w:rPr>
      <w:rFonts w:ascii="Times New Roman" w:hAnsi="Times New Roman" w:eastAsia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 w:val="true"/>
      <w:widowControl w:val="false"/>
      <w:spacing w:lineRule="auto" w:line="240" w:before="240" w:after="0"/>
      <w:outlineLvl w:val="5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 w:val="true"/>
      <w:widowControl w:val="false"/>
      <w:shd w:val="clear" w:color="auto" w:fill="FFFFFF"/>
      <w:spacing w:lineRule="auto" w:line="240" w:before="206" w:after="0"/>
      <w:ind w:left="58" w:firstLine="509"/>
      <w:jc w:val="both"/>
      <w:outlineLvl w:val="6"/>
    </w:pPr>
    <w:rPr>
      <w:rFonts w:ascii="Times New Roman" w:hAnsi="Times New Roman" w:eastAsia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 w:val="true"/>
      <w:widowControl w:val="false"/>
      <w:spacing w:lineRule="auto" w:line="240" w:before="240" w:after="0"/>
      <w:outlineLvl w:val="7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 w:val="true"/>
      <w:widowControl w:val="false"/>
      <w:tabs>
        <w:tab w:val="clear" w:pos="709"/>
        <w:tab w:val="left" w:pos="1214" w:leader="none"/>
      </w:tabs>
      <w:spacing w:lineRule="auto" w:line="240" w:before="240" w:after="0"/>
      <w:jc w:val="center"/>
      <w:outlineLvl w:val="8"/>
    </w:pPr>
    <w:rPr>
      <w:rFonts w:ascii="Times New Roman" w:hAnsi="Times New Roman" w:eastAsia="Times New Roman" w:cs="Times New Roman"/>
      <w:bCs/>
      <w:color w:val="000000"/>
      <w:sz w:val="4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caps/>
      <w:szCs w:val="24"/>
      <w:lang w:eastAsia="ru-RU"/>
    </w:rPr>
  </w:style>
  <w:style w:type="character" w:styleId="31" w:customStyle="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caps/>
      <w:spacing w:val="40"/>
      <w:sz w:val="26"/>
      <w:szCs w:val="24"/>
      <w:lang w:eastAsia="ru-RU"/>
    </w:rPr>
  </w:style>
  <w:style w:type="character" w:styleId="41" w:customStyle="1">
    <w:name w:val="Заголовок 4 Знак"/>
    <w:basedOn w:val="DefaultParagraphFont"/>
    <w:qFormat/>
    <w:rPr>
      <w:rFonts w:ascii="Times New Roman" w:hAnsi="Times New Roman" w:eastAsia="Times New Roman" w:cs="Times New Roman"/>
      <w:i/>
      <w:sz w:val="28"/>
      <w:szCs w:val="28"/>
      <w:shd w:fill="FFFFFF" w:val="clear"/>
      <w:lang w:eastAsia="ru-RU"/>
    </w:rPr>
  </w:style>
  <w:style w:type="character" w:styleId="51" w:customStyle="1">
    <w:name w:val="Заголовок 5 Знак"/>
    <w:basedOn w:val="DefaultParagraphFont"/>
    <w:qFormat/>
    <w:rPr>
      <w:rFonts w:ascii="Times New Roman" w:hAnsi="Times New Roman" w:eastAsia="Times New Roman" w:cs="Times New Roman"/>
      <w:b/>
      <w:spacing w:val="20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qFormat/>
    <w:rPr>
      <w:rFonts w:ascii="Times New Roman" w:hAnsi="Times New Roman" w:eastAsia="Times New Roman" w:cs="Times New Roman"/>
      <w:i/>
      <w:color w:val="000000"/>
      <w:spacing w:val="-1"/>
      <w:sz w:val="28"/>
      <w:szCs w:val="28"/>
      <w:shd w:fill="FFFFFF" w:val="clear"/>
      <w:lang w:eastAsia="ru-RU"/>
    </w:rPr>
  </w:style>
  <w:style w:type="character" w:styleId="81" w:customStyle="1">
    <w:name w:val="Заголовок 8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qFormat/>
    <w:rPr>
      <w:rFonts w:ascii="Times New Roman" w:hAnsi="Times New Roman" w:eastAsia="Times New Roman" w:cs="Times New Roman"/>
      <w:bCs/>
      <w:color w:val="000000"/>
      <w:sz w:val="40"/>
      <w:szCs w:val="24"/>
      <w:lang w:eastAsia="ru-RU"/>
    </w:rPr>
  </w:style>
  <w:style w:type="character" w:styleId="Style5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6" w:customStyle="1">
    <w:name w:val="Верхний колонтитул Знак"/>
    <w:basedOn w:val="DefaultParagraphFont"/>
    <w:uiPriority w:val="99"/>
    <w:qFormat/>
    <w:rPr/>
  </w:style>
  <w:style w:type="character" w:styleId="Style7" w:customStyle="1">
    <w:name w:val="Нижний колонтитул Знак"/>
    <w:basedOn w:val="DefaultParagraphFont"/>
    <w:uiPriority w:val="99"/>
    <w:qFormat/>
    <w:rPr/>
  </w:style>
  <w:style w:type="character" w:styleId="Pagenumber">
    <w:name w:val="page number"/>
    <w:basedOn w:val="DefaultParagraphFont"/>
    <w:qFormat/>
    <w:rPr/>
  </w:style>
  <w:style w:type="character" w:styleId="Style8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color w:val="000000"/>
      <w:spacing w:val="1"/>
      <w:sz w:val="28"/>
      <w:szCs w:val="28"/>
      <w:shd w:fill="FFFFFF" w:val="clear"/>
      <w:lang w:eastAsia="ru-RU"/>
    </w:rPr>
  </w:style>
  <w:style w:type="character" w:styleId="22" w:customStyle="1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32" w:customStyle="1">
    <w:name w:val="Основной текст с отступом 3 Знак"/>
    <w:basedOn w:val="DefaultParagraphFont"/>
    <w:qFormat/>
    <w:rPr>
      <w:rFonts w:ascii="Times New Roman" w:hAnsi="Times New Roman" w:eastAsia="Times New Roman" w:cs="Times New Roman"/>
      <w:color w:val="000000"/>
      <w:spacing w:val="2"/>
      <w:sz w:val="28"/>
      <w:szCs w:val="28"/>
      <w:shd w:fill="FFFFFF" w:val="clear"/>
      <w:lang w:eastAsia="ru-RU"/>
    </w:rPr>
  </w:style>
  <w:style w:type="character" w:styleId="Style9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23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Style10">
    <w:name w:val="Интернет-ссылка"/>
    <w:rsid w:val="00fb6620"/>
    <w:rPr>
      <w:color w:val="0000FF"/>
      <w:u w:val="single"/>
    </w:rPr>
  </w:style>
  <w:style w:type="character" w:styleId="Linenumber">
    <w:name w:val="line number"/>
    <w:basedOn w:val="DefaultParagraphFont"/>
    <w:qFormat/>
    <w:rPr/>
  </w:style>
  <w:style w:type="character" w:styleId="Style11" w:customStyle="1">
    <w:name w:val="Текст сноски Знак"/>
    <w:basedOn w:val="DefaultParagraphFont"/>
    <w:qFormat/>
    <w:rPr>
      <w:szCs w:val="20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12" w:customStyle="1">
    <w:name w:val="Верх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4" w:customStyle="1">
    <w:name w:val="Текст сноски Знак1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ма примечания Знак"/>
    <w:basedOn w:val="Style13"/>
    <w:qFormat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Style15" w:customStyle="1">
    <w:name w:val="Ссылка указателя"/>
    <w:qFormat/>
    <w:rPr/>
  </w:style>
  <w:style w:type="character" w:styleId="15" w:customStyle="1">
    <w:name w:val="Основной текст Знак1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16" w:customStyle="1">
    <w:name w:val="Текст выноски Знак1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7" w:customStyle="1">
    <w:name w:val="Основной текст с отступом Знак1"/>
    <w:basedOn w:val="DefaultParagraphFont"/>
    <w:qFormat/>
    <w:rPr>
      <w:rFonts w:ascii="Times New Roman" w:hAnsi="Times New Roman" w:eastAsia="Times New Roman" w:cs="Times New Roman"/>
      <w:color w:val="000000"/>
      <w:spacing w:val="1"/>
      <w:sz w:val="28"/>
      <w:szCs w:val="28"/>
      <w:shd w:fill="FFFFFF" w:val="clear"/>
      <w:lang w:eastAsia="ru-RU"/>
    </w:rPr>
  </w:style>
  <w:style w:type="character" w:styleId="211" w:customStyle="1">
    <w:name w:val="Основной текст с отступом 2 Знак1"/>
    <w:basedOn w:val="DefaultParagraphFont"/>
    <w:qFormat/>
    <w:rPr/>
  </w:style>
  <w:style w:type="character" w:styleId="311" w:customStyle="1">
    <w:name w:val="Основной текст с отступом 3 Знак1"/>
    <w:basedOn w:val="DefaultParagraphFont"/>
    <w:qFormat/>
    <w:rPr>
      <w:sz w:val="16"/>
      <w:szCs w:val="16"/>
    </w:rPr>
  </w:style>
  <w:style w:type="character" w:styleId="212" w:customStyle="1">
    <w:name w:val="Основной текст 2 Знак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24" w:customStyle="1">
    <w:name w:val="Верхний колонтитул Знак2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5" w:customStyle="1">
    <w:name w:val="Нижний колонтитул Знак2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6" w:customStyle="1">
    <w:name w:val="Текст сноски Знак2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8" w:customStyle="1">
    <w:name w:val="Текст примечания Знак1"/>
    <w:basedOn w:val="DefaultParagraphFont"/>
    <w:qFormat/>
    <w:rPr>
      <w:rFonts w:ascii="Arial" w:hAnsi="Arial" w:eastAsia="Times New Roman" w:cs="Arial"/>
      <w:sz w:val="20"/>
      <w:szCs w:val="20"/>
      <w:lang w:eastAsia="ru-RU"/>
    </w:rPr>
  </w:style>
  <w:style w:type="character" w:styleId="19" w:customStyle="1">
    <w:name w:val="Тема примечания Знак1"/>
    <w:basedOn w:val="18"/>
    <w:qFormat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UnresolvedMention" w:customStyle="1">
    <w:name w:val="Unresolved Mention"/>
    <w:basedOn w:val="DefaultParagraphFont"/>
    <w:qFormat/>
    <w:rPr>
      <w:color w:val="605E5C"/>
      <w:shd w:fill="E1DFDD" w:val="clear"/>
    </w:rPr>
  </w:style>
  <w:style w:type="character" w:styleId="27" w:customStyle="1">
    <w:name w:val="Основной текст с отступом Знак2"/>
    <w:basedOn w:val="DefaultParagraphFont"/>
    <w:link w:val="afc"/>
    <w:uiPriority w:val="99"/>
    <w:semiHidden/>
    <w:qFormat/>
    <w:rsid w:val="00363b2b"/>
    <w:rPr/>
  </w:style>
  <w:style w:type="character" w:styleId="ConsPlusNormal" w:customStyle="1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styleId="Pta1000004" w:customStyle="1">
    <w:name w:val="pt-a1-000004"/>
    <w:qFormat/>
    <w:rsid w:val="006838ed"/>
    <w:rPr>
      <w:rFonts w:ascii="Times New Roman" w:hAnsi="Times New Roman" w:cs="Times New Roman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>
      <w:shd w:val="clear" w:fill="FFFFFF"/>
    </w:pPr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widowControl w:val="false"/>
      <w:shd w:val="clear" w:color="auto" w:fill="FFFFFF"/>
      <w:spacing w:lineRule="auto" w:line="240" w:before="5" w:after="0"/>
      <w:ind w:right="14" w:hanging="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Caption">
    <w:name w:val="caption"/>
    <w:basedOn w:val="Standard"/>
    <w:qFormat/>
    <w:pPr>
      <w:suppressLineNumbers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ru-RU"/>
    </w:rPr>
  </w:style>
  <w:style w:type="paragraph" w:styleId="110" w:customStyle="1">
    <w:name w:val="Заголовок1"/>
    <w:basedOn w:val="Standard"/>
    <w:next w:val="Textbody"/>
    <w:qFormat/>
    <w:pPr>
      <w:keepNext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ru-RU"/>
    </w:rPr>
  </w:style>
  <w:style w:type="paragraph" w:styleId="Index1">
    <w:name w:val="index 1"/>
    <w:basedOn w:val="Standard"/>
    <w:next w:val="Standard"/>
    <w:autoRedefine/>
    <w:qFormat/>
    <w:pPr>
      <w:spacing w:lineRule="auto" w:line="240" w:before="0" w:after="0"/>
      <w:ind w:left="240" w:hanging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dexheading">
    <w:name w:val="index heading"/>
    <w:basedOn w:val="Standard"/>
    <w:qFormat/>
    <w:pPr>
      <w:suppressLineNumbers/>
      <w:spacing w:lineRule="auto" w:line="240" w:before="0" w:after="0"/>
    </w:pPr>
    <w:rPr>
      <w:rFonts w:ascii="Times New Roman" w:hAnsi="Times New Roman" w:eastAsia="Times New Roman" w:cs="Mangal"/>
      <w:sz w:val="24"/>
      <w:szCs w:val="24"/>
      <w:lang w:eastAsia="ru-RU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imes New Roman"/>
      <w:sz w:val="16"/>
      <w:szCs w:val="16"/>
      <w:lang w:eastAsia="ru-RU"/>
    </w:rPr>
  </w:style>
  <w:style w:type="paragraph" w:styleId="ConsPlusNormal1" w:customStyle="1">
    <w:name w:val="ConsPlusNormal"/>
    <w:link w:val="ConsPlusNormal0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111" w:customStyle="1">
    <w:name w:val="Абзац списка1"/>
    <w:basedOn w:val="Standard"/>
    <w:qFormat/>
    <w:pPr>
      <w:ind w:left="720" w:hanging="0"/>
    </w:pPr>
    <w:rPr>
      <w:rFonts w:cs="Times New Roman"/>
    </w:rPr>
  </w:style>
  <w:style w:type="paragraph" w:styleId="112" w:customStyle="1">
    <w:name w:val="Верхний колонтитул1"/>
    <w:basedOn w:val="Standard"/>
    <w:qFormat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3" w:customStyle="1">
    <w:name w:val="Нижний колонтитул1"/>
    <w:basedOn w:val="Standard"/>
    <w:qFormat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extbodyindent" w:customStyle="1">
    <w:name w:val="Text body indent"/>
    <w:basedOn w:val="Standard"/>
    <w:qFormat/>
    <w:pPr>
      <w:widowControl w:val="false"/>
      <w:shd w:val="clear" w:color="auto" w:fill="FFFFFF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000000"/>
      <w:spacing w:val="1"/>
      <w:sz w:val="28"/>
      <w:szCs w:val="28"/>
      <w:lang w:eastAsia="ru-RU"/>
    </w:rPr>
  </w:style>
  <w:style w:type="paragraph" w:styleId="BlockText">
    <w:name w:val="Block Text"/>
    <w:basedOn w:val="Standard"/>
    <w:qFormat/>
    <w:pPr>
      <w:widowControl w:val="false"/>
      <w:shd w:val="clear" w:color="auto" w:fill="FFFFFF"/>
      <w:spacing w:lineRule="auto" w:line="240" w:before="0" w:after="0"/>
      <w:ind w:left="14" w:right="10" w:hanging="0"/>
      <w:jc w:val="center"/>
    </w:pPr>
    <w:rPr>
      <w:rFonts w:ascii="Times New Roman" w:hAnsi="Times New Roman" w:eastAsia="Times New Roman" w:cs="Times New Roman"/>
      <w:b/>
      <w:iCs/>
      <w:color w:val="000000"/>
      <w:sz w:val="28"/>
      <w:szCs w:val="28"/>
      <w:lang w:eastAsia="ru-RU"/>
    </w:rPr>
  </w:style>
  <w:style w:type="paragraph" w:styleId="BodyTextIndent2">
    <w:name w:val="Body Text Indent 2"/>
    <w:basedOn w:val="Standard"/>
    <w:qFormat/>
    <w:pPr>
      <w:widowControl w:val="false"/>
      <w:shd w:val="clear" w:color="auto" w:fill="FFFFFF"/>
      <w:tabs>
        <w:tab w:val="clear" w:pos="709"/>
        <w:tab w:val="left" w:pos="1118" w:leader="none"/>
      </w:tabs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BodyTextIndent3">
    <w:name w:val="Body Text Indent 3"/>
    <w:basedOn w:val="Standard"/>
    <w:qFormat/>
    <w:pPr>
      <w:widowControl w:val="false"/>
      <w:shd w:val="clear" w:color="auto" w:fill="FFFFFF"/>
      <w:tabs>
        <w:tab w:val="clear" w:pos="709"/>
        <w:tab w:val="left" w:pos="279" w:leader="none"/>
      </w:tabs>
      <w:spacing w:lineRule="auto" w:line="240" w:before="0" w:after="0"/>
      <w:ind w:left="5" w:firstLine="709"/>
      <w:jc w:val="both"/>
    </w:pPr>
    <w:rPr>
      <w:rFonts w:ascii="Times New Roman" w:hAnsi="Times New Roman" w:eastAsia="Times New Roman" w:cs="Times New Roman"/>
      <w:color w:val="000000"/>
      <w:spacing w:val="2"/>
      <w:sz w:val="28"/>
      <w:szCs w:val="28"/>
      <w:lang w:eastAsia="ru-RU"/>
    </w:rPr>
  </w:style>
  <w:style w:type="paragraph" w:styleId="BodyText2">
    <w:name w:val="Body Text 2"/>
    <w:basedOn w:val="Standard"/>
    <w:qFormat/>
    <w:pPr>
      <w:widowControl w:val="false"/>
      <w:shd w:val="clear" w:color="auto" w:fill="FFFFFF"/>
      <w:tabs>
        <w:tab w:val="clear" w:pos="709"/>
        <w:tab w:val="left" w:pos="1214" w:leader="none"/>
      </w:tabs>
      <w:spacing w:lineRule="auto" w:line="240" w:before="0" w:after="0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114" w:customStyle="1">
    <w:name w:val="Заголовок оглавления1"/>
    <w:basedOn w:val="1"/>
    <w:qFormat/>
    <w:pPr>
      <w:keepLines/>
      <w:spacing w:lineRule="auto" w:line="259" w:before="240" w:after="0"/>
      <w:jc w:val="left"/>
    </w:pPr>
    <w:rPr>
      <w:rFonts w:ascii="Calibri" w:hAnsi="Calibri" w:eastAsia="Calibri" w:cs="Tahoma"/>
      <w:b w:val="false"/>
      <w:sz w:val="22"/>
      <w:lang w:eastAsia="en-US"/>
    </w:rPr>
  </w:style>
  <w:style w:type="paragraph" w:styleId="115" w:customStyle="1">
    <w:name w:val="Оглавление 11"/>
    <w:basedOn w:val="Standard"/>
    <w:autoRedefine/>
    <w:qFormat/>
    <w:pPr>
      <w:tabs>
        <w:tab w:val="clear" w:pos="709"/>
        <w:tab w:val="center" w:pos="1418" w:leader="none"/>
        <w:tab w:val="right" w:pos="9344" w:leader="dot"/>
      </w:tabs>
      <w:spacing w:before="0" w:after="0"/>
    </w:pPr>
    <w:rPr>
      <w:rFonts w:cs="Times New Roman"/>
    </w:rPr>
  </w:style>
  <w:style w:type="paragraph" w:styleId="213" w:customStyle="1">
    <w:name w:val="Оглавление 21"/>
    <w:basedOn w:val="Standard"/>
    <w:autoRedefine/>
    <w:qFormat/>
    <w:pPr>
      <w:tabs>
        <w:tab w:val="clear" w:pos="709"/>
        <w:tab w:val="right" w:pos="9564" w:leader="dot"/>
      </w:tabs>
      <w:spacing w:lineRule="auto" w:line="240" w:before="0" w:after="0"/>
      <w:ind w:left="22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312" w:customStyle="1">
    <w:name w:val="Оглавление 31"/>
    <w:basedOn w:val="Standard"/>
    <w:autoRedefine/>
    <w:qFormat/>
    <w:pPr>
      <w:tabs>
        <w:tab w:val="clear" w:pos="709"/>
        <w:tab w:val="left" w:pos="1135" w:leader="none"/>
        <w:tab w:val="center" w:pos="1702" w:leader="none"/>
        <w:tab w:val="left" w:pos="1985" w:leader="none"/>
        <w:tab w:val="left" w:pos="2411" w:leader="none"/>
        <w:tab w:val="right" w:pos="10205" w:leader="dot"/>
      </w:tabs>
      <w:spacing w:lineRule="auto" w:line="240" w:before="0" w:after="0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styleId="116" w:customStyle="1">
    <w:name w:val="Рецензия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ru-RU" w:eastAsia="en-US" w:bidi="ar-SA"/>
    </w:rPr>
  </w:style>
  <w:style w:type="paragraph" w:styleId="117" w:customStyle="1">
    <w:name w:val="Текст сноски1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118" w:customStyle="1">
    <w:name w:val="Без интервала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Standard"/>
    <w:uiPriority w:val="34"/>
    <w:qFormat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Верхний и нижний колонтитулы"/>
    <w:basedOn w:val="Standard"/>
    <w:qFormat/>
    <w:pPr/>
    <w:rPr/>
  </w:style>
  <w:style w:type="paragraph" w:styleId="Style23">
    <w:name w:val="Header"/>
    <w:basedOn w:val="Standard"/>
    <w:uiPriority w:val="9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Footer"/>
    <w:basedOn w:val="Standard"/>
    <w:uiPriority w:val="9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Standard"/>
    <w:qFormat/>
    <w:pPr>
      <w:widowControl w:val="false"/>
      <w:spacing w:lineRule="auto" w:line="240" w:before="0" w:after="0"/>
    </w:pPr>
    <w:rPr>
      <w:rFonts w:ascii="Arial" w:hAnsi="Arial" w:eastAsia="Times New Roman" w:cs="Arial"/>
      <w:sz w:val="20"/>
      <w:szCs w:val="20"/>
      <w:lang w:eastAsia="ru-RU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Standard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 w:customStyle="1">
    <w:name w:val="Содержимое врезки"/>
    <w:basedOn w:val="Standard"/>
    <w:qFormat/>
    <w:pPr/>
    <w:rPr/>
  </w:style>
  <w:style w:type="paragraph" w:styleId="Style26" w:customStyle="1">
    <w:name w:val="Содержимое таблицы"/>
    <w:basedOn w:val="Standard"/>
    <w:qFormat/>
    <w:pPr>
      <w:widowControl w:val="false"/>
      <w:suppressLineNumbers/>
    </w:pPr>
    <w:rPr/>
  </w:style>
  <w:style w:type="paragraph" w:styleId="Western" w:customStyle="1">
    <w:name w:val="western"/>
    <w:basedOn w:val="Normal"/>
    <w:qFormat/>
    <w:rsid w:val="00533013"/>
    <w:pPr>
      <w:widowControl/>
      <w:suppressAutoHyphens w:val="false"/>
      <w:spacing w:beforeAutospacing="1" w:afterAutospacing="1"/>
      <w:jc w:val="center"/>
      <w:textAlignment w:val="auto"/>
    </w:pPr>
    <w:rPr>
      <w:rFonts w:ascii="Times New Roman" w:hAnsi="Times New Roman" w:eastAsia="Times New Roman" w:cs="Times New Roman"/>
      <w:b/>
      <w:bCs/>
      <w:color w:val="00000A"/>
      <w:sz w:val="26"/>
      <w:szCs w:val="26"/>
      <w:lang w:eastAsia="ru-RU"/>
    </w:rPr>
  </w:style>
  <w:style w:type="paragraph" w:styleId="Style27">
    <w:name w:val="Body Text Indent"/>
    <w:basedOn w:val="Normal"/>
    <w:link w:val="28"/>
    <w:uiPriority w:val="99"/>
    <w:semiHidden/>
    <w:unhideWhenUsed/>
    <w:rsid w:val="00363b2b"/>
    <w:pPr>
      <w:spacing w:before="0" w:after="120"/>
      <w:ind w:left="283" w:hanging="0"/>
    </w:pPr>
    <w:rPr/>
  </w:style>
  <w:style w:type="paragraph" w:styleId="Formattexttopleveltext" w:customStyle="1">
    <w:name w:val="formattext topleveltext"/>
    <w:basedOn w:val="Normal"/>
    <w:qFormat/>
    <w:rsid w:val="00756159"/>
    <w:pPr>
      <w:widowControl/>
      <w:suppressAutoHyphens w:val="false"/>
      <w:spacing w:beforeAutospacing="1" w:afterAutospacing="1"/>
      <w:jc w:val="both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19" w:customStyle="1">
    <w:name w:val="Нет списка1"/>
    <w:qFormat/>
  </w:style>
  <w:style w:type="numbering" w:styleId="1110" w:customStyle="1">
    <w:name w:val="Нет списка11"/>
    <w:qFormat/>
  </w:style>
  <w:style w:type="numbering" w:styleId="1111" w:customStyle="1">
    <w:name w:val="Нет списка111"/>
    <w:qFormat/>
  </w:style>
  <w:style w:type="numbering" w:styleId="33" w:customStyle="1">
    <w:name w:val="Нет списка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f04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CA11-DD60-486F-A27A-5A5CD5E9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LibreOffice/7.1.5.2$Windows_X86_64 LibreOffice_project/85f04e9f809797b8199d13c421bd8a2b025d52b5</Application>
  <AppVersion>15.0000</AppVersion>
  <Pages>13</Pages>
  <Words>2984</Words>
  <Characters>19942</Characters>
  <CharactersWithSpaces>22909</CharactersWithSpaces>
  <Paragraphs>209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2023-01-31T11:19:00Z</dcterms:created>
  <dc:creator>Широкова Виолетта Вячеславовна</dc:creator>
  <dc:description/>
  <dc:language>ru-RU</dc:language>
  <cp:lastModifiedBy/>
  <cp:lastPrinted>2023-11-03T10:50:58Z</cp:lastPrinted>
  <dcterms:modified xsi:type="dcterms:W3CDTF">2023-11-09T10:51:04Z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